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body>
    <w:p w:rsidR="00535AAB" w:rsidP="001C4F3C" w:rsidRDefault="008A2558" w14:paraId="4312E975" w14:textId="494E7FD0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4312E9AB" wp14:editId="49B1E943">
                <wp:simplePos x="0" y="0"/>
                <wp:positionH relativeFrom="page">
                  <wp:posOffset>22860</wp:posOffset>
                </wp:positionH>
                <wp:positionV relativeFrom="page">
                  <wp:posOffset>574675</wp:posOffset>
                </wp:positionV>
                <wp:extent cx="7749540" cy="279400"/>
                <wp:effectExtent l="0" t="0" r="0" b="0"/>
                <wp:wrapNone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9540" cy="279400"/>
                          <a:chOff x="36" y="905"/>
                          <a:chExt cx="12204" cy="440"/>
                        </a:xfrm>
                      </wpg:grpSpPr>
                      <wps:wsp>
                        <wps:cNvPr id="4" name="docshape2"/>
                        <wps:cNvSpPr>
                          <a:spLocks/>
                        </wps:cNvSpPr>
                        <wps:spPr bwMode="auto">
                          <a:xfrm>
                            <a:off x="36" y="904"/>
                            <a:ext cx="12204" cy="440"/>
                          </a:xfrm>
                          <a:custGeom>
                            <a:avLst/>
                            <a:gdLst>
                              <a:gd name="T0" fmla="+- 0 12240 36"/>
                              <a:gd name="T1" fmla="*/ T0 w 12204"/>
                              <a:gd name="T2" fmla="+- 0 905 905"/>
                              <a:gd name="T3" fmla="*/ 905 h 440"/>
                              <a:gd name="T4" fmla="+- 0 36 36"/>
                              <a:gd name="T5" fmla="*/ T4 w 12204"/>
                              <a:gd name="T6" fmla="+- 0 905 905"/>
                              <a:gd name="T7" fmla="*/ 905 h 440"/>
                              <a:gd name="T8" fmla="+- 0 36 36"/>
                              <a:gd name="T9" fmla="*/ T8 w 12204"/>
                              <a:gd name="T10" fmla="+- 0 1344 905"/>
                              <a:gd name="T11" fmla="*/ 1344 h 440"/>
                              <a:gd name="T12" fmla="+- 0 144 36"/>
                              <a:gd name="T13" fmla="*/ T12 w 12204"/>
                              <a:gd name="T14" fmla="+- 0 1344 905"/>
                              <a:gd name="T15" fmla="*/ 1344 h 440"/>
                              <a:gd name="T16" fmla="+- 0 12240 36"/>
                              <a:gd name="T17" fmla="*/ T16 w 12204"/>
                              <a:gd name="T18" fmla="+- 0 1344 905"/>
                              <a:gd name="T19" fmla="*/ 1344 h 440"/>
                              <a:gd name="T20" fmla="+- 0 12240 36"/>
                              <a:gd name="T21" fmla="*/ T20 w 12204"/>
                              <a:gd name="T22" fmla="+- 0 1274 905"/>
                              <a:gd name="T23" fmla="*/ 1274 h 440"/>
                              <a:gd name="T24" fmla="+- 0 12240 36"/>
                              <a:gd name="T25" fmla="*/ T24 w 12204"/>
                              <a:gd name="T26" fmla="+- 0 905 905"/>
                              <a:gd name="T27" fmla="*/ 905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204" h="440">
                                <a:moveTo>
                                  <a:pt x="122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"/>
                                </a:lnTo>
                                <a:lnTo>
                                  <a:pt x="108" y="439"/>
                                </a:lnTo>
                                <a:lnTo>
                                  <a:pt x="12204" y="439"/>
                                </a:lnTo>
                                <a:lnTo>
                                  <a:pt x="12204" y="369"/>
                                </a:lnTo>
                                <a:lnTo>
                                  <a:pt x="12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00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36" y="904"/>
                            <a:ext cx="12204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5AAB" w:rsidRDefault="00444134" w14:paraId="4312E9B0" w14:textId="77777777">
                              <w:pPr>
                                <w:spacing w:before="91"/>
                                <w:ind w:left="4155" w:right="393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COLLEGE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ARTS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SCIENCES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style="position:absolute;margin-left:1.8pt;margin-top:45.25pt;width:610.2pt;height:22pt;z-index:15729152;mso-position-horizontal-relative:page;mso-position-vertical-relative:page" coordsize="12204,440" coordorigin="36,905" o:spid="_x0000_s1026" w14:anchorId="4312E9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">
                <v:shape id="docshape2" style="position:absolute;left:36;top:904;width:12204;height:440;visibility:visible;mso-wrap-style:square;v-text-anchor:top" coordsize="12204,440" o:spid="_x0000_s1027" fillcolor="#ab0005" stroked="f" path="m12204,l,,,439r108,l12204,439r,-70l1220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">
                  <v:path arrowok="t" o:connecttype="custom" o:connectlocs="12204,905;0,905;0,1344;108,1344;12204,1344;12204,1274;12204,905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style="position:absolute;left:36;top:904;width:12204;height:440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>
                  <v:textbox inset="0,0,0,0">
                    <w:txbxContent>
                      <w:p w:rsidR="00535AAB" w:rsidRDefault="00444134" w14:paraId="4312E9B0" w14:textId="77777777">
                        <w:pPr>
                          <w:spacing w:before="91"/>
                          <w:ind w:left="4155" w:right="39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COLLEGE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ARTS</w:t>
                        </w:r>
                        <w:r>
                          <w:rPr>
                            <w:color w:val="FFFFF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SCIENCES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535AAB" w:rsidRDefault="00535AAB" w14:paraId="4312E976" w14:textId="77777777">
      <w:pPr>
        <w:pStyle w:val="BodyText"/>
        <w:rPr>
          <w:rFonts w:ascii="Times New Roman"/>
          <w:sz w:val="20"/>
        </w:rPr>
      </w:pPr>
    </w:p>
    <w:p w:rsidR="00535AAB" w:rsidRDefault="00444134" w14:paraId="4312E977" w14:textId="086A611B">
      <w:pPr>
        <w:pStyle w:val="Title"/>
      </w:pPr>
      <w:r>
        <w:rPr>
          <w:color w:val="050505"/>
        </w:rPr>
        <w:t>Facilities</w:t>
      </w:r>
      <w:r>
        <w:rPr>
          <w:color w:val="050505"/>
          <w:spacing w:val="-6"/>
        </w:rPr>
        <w:t xml:space="preserve"> </w:t>
      </w:r>
      <w:r>
        <w:rPr>
          <w:color w:val="050505"/>
        </w:rPr>
        <w:t>and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Administrative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(F&amp;A) Costs</w:t>
      </w:r>
      <w:r>
        <w:rPr>
          <w:color w:val="050505"/>
          <w:spacing w:val="-5"/>
        </w:rPr>
        <w:t xml:space="preserve"> </w:t>
      </w:r>
      <w:r>
        <w:rPr>
          <w:color w:val="050505"/>
          <w:spacing w:val="-2"/>
        </w:rPr>
        <w:t>Policy</w:t>
      </w:r>
    </w:p>
    <w:p w:rsidR="00535AAB" w:rsidP="00A7DE7E" w:rsidRDefault="004B50AD" w14:paraId="4312E978" w14:textId="51AE7B5A">
      <w:pPr>
        <w:pStyle w:val="Heading1"/>
        <w:spacing w:before="1"/>
        <w:ind w:left="387"/>
        <w:rPr>
          <w:color w:val="050505"/>
        </w:rPr>
      </w:pPr>
      <w:r w:rsidR="63093FB2">
        <w:rPr>
          <w:color w:val="050505"/>
          <w:spacing w:val="-2"/>
        </w:rPr>
        <w:t>08</w:t>
      </w:r>
      <w:r w:rsidR="004B50AD">
        <w:rPr>
          <w:color w:val="050505"/>
          <w:spacing w:val="-2"/>
        </w:rPr>
        <w:t>/</w:t>
      </w:r>
      <w:r w:rsidR="00A03891">
        <w:rPr>
          <w:color w:val="050505"/>
          <w:spacing w:val="-2"/>
        </w:rPr>
        <w:t>03</w:t>
      </w:r>
      <w:r w:rsidR="004B50AD">
        <w:rPr>
          <w:color w:val="050505"/>
          <w:spacing w:val="-2"/>
        </w:rPr>
        <w:t>/202</w:t>
      </w:r>
      <w:r w:rsidR="06E28794">
        <w:rPr>
          <w:color w:val="050505"/>
          <w:spacing w:val="-2"/>
        </w:rPr>
        <w:t>3</w:t>
      </w:r>
    </w:p>
    <w:p w:rsidR="004B50AD" w:rsidRDefault="004B50AD" w14:paraId="2A7F2E5A" w14:textId="7E0C23FB">
      <w:pPr>
        <w:pStyle w:val="BodyText"/>
        <w:ind w:left="388" w:right="210" w:hanging="1"/>
        <w:rPr>
          <w:i/>
          <w:iCs/>
        </w:rPr>
      </w:pPr>
    </w:p>
    <w:p w:rsidR="00DC1E6C" w:rsidP="00444134" w:rsidRDefault="00444134" w14:paraId="6F2E85DC" w14:textId="330C657F">
      <w:pPr>
        <w:pStyle w:val="BodyText"/>
        <w:ind w:left="388" w:hanging="1"/>
      </w:pPr>
      <w:r w:rsidRPr="00A7DE7E" w:rsidR="00444134">
        <w:rPr>
          <w:i w:val="1"/>
          <w:iCs w:val="1"/>
        </w:rPr>
        <w:t>Facilities</w:t>
      </w:r>
      <w:bookmarkStart w:name="_Int_0b0uTs2x" w:id="2043953633"/>
      <w:r w:rsidR="00DC1E6C">
        <w:rPr/>
        <w:t>:</w:t>
      </w:r>
      <w:r w:rsidR="00444134">
        <w:rPr/>
        <w:t xml:space="preserve">  depreciation</w:t>
      </w:r>
      <w:bookmarkEnd w:id="2043953633"/>
      <w:r w:rsidR="00444134">
        <w:rPr/>
        <w:t xml:space="preserve"> and use allowances, interest on debt associated with certain buildings, equipment and capital improvements, operation and maintenance expenses, and library expenses. </w:t>
      </w:r>
    </w:p>
    <w:p w:rsidR="00DC1E6C" w:rsidRDefault="00DC1E6C" w14:paraId="06D9D6D9" w14:textId="77777777">
      <w:pPr>
        <w:pStyle w:val="BodyText"/>
        <w:ind w:left="388" w:right="210" w:hanging="1"/>
      </w:pPr>
    </w:p>
    <w:p w:rsidR="00535AAB" w:rsidP="00444134" w:rsidRDefault="00444134" w14:paraId="4312E97A" w14:textId="6CFE73C8">
      <w:pPr>
        <w:pStyle w:val="BodyText"/>
        <w:tabs>
          <w:tab w:val="left" w:pos="10620"/>
        </w:tabs>
        <w:ind w:left="388" w:right="210" w:hanging="1"/>
      </w:pPr>
      <w:r w:rsidRPr="00A7DE7E" w:rsidR="00444134">
        <w:rPr>
          <w:i w:val="1"/>
          <w:iCs w:val="1"/>
        </w:rPr>
        <w:t>Administration</w:t>
      </w:r>
      <w:bookmarkStart w:name="_Int_cM4UUpm3" w:id="730875414"/>
      <w:r w:rsidR="00DC1E6C">
        <w:rPr/>
        <w:t>:</w:t>
      </w:r>
      <w:r w:rsidR="00444134">
        <w:rPr/>
        <w:t xml:space="preserve">  general</w:t>
      </w:r>
      <w:bookmarkEnd w:id="730875414"/>
      <w:r w:rsidR="00444134">
        <w:rPr/>
        <w:t xml:space="preserve"> administration and expenses, departmental and college administration, sponsored projects administration, and all other types of expenditures not listed specifically under Facilities.</w:t>
      </w:r>
      <w:r w:rsidR="003830C8">
        <w:rPr/>
        <w:t xml:space="preserve"> Administrative costs are capped at 26%.</w:t>
      </w:r>
    </w:p>
    <w:p w:rsidR="00535AAB" w:rsidRDefault="00535AAB" w14:paraId="4312E97B" w14:textId="77777777">
      <w:pPr>
        <w:pStyle w:val="BodyText"/>
        <w:spacing w:before="1"/>
      </w:pPr>
    </w:p>
    <w:p w:rsidR="005F137F" w:rsidP="005F137F" w:rsidRDefault="005F137F" w14:paraId="18B90052" w14:textId="10A87230">
      <w:pPr>
        <w:pStyle w:val="BodyText"/>
        <w:ind w:left="388" w:right="210" w:hanging="1"/>
        <w:rPr>
          <w:spacing w:val="40"/>
        </w:rPr>
      </w:pPr>
      <w:r w:rsidRPr="00786A5F">
        <w:rPr>
          <w:i/>
          <w:iCs/>
        </w:rPr>
        <w:t>Facilities and Administrative (F&amp;A) costs</w:t>
      </w:r>
      <w:r>
        <w:t xml:space="preserve">: those </w:t>
      </w:r>
      <w:r w:rsidR="005B25B0">
        <w:t>joint</w:t>
      </w:r>
      <w:r w:rsidR="0008789E">
        <w:t xml:space="preserve"> costs </w:t>
      </w:r>
      <w:r>
        <w:t xml:space="preserve">associated with </w:t>
      </w:r>
      <w:r w:rsidR="002768D8">
        <w:t>supplying</w:t>
      </w:r>
      <w:r>
        <w:t xml:space="preserve"> and maintaining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infrastructure</w:t>
      </w:r>
      <w:r>
        <w:rPr>
          <w:spacing w:val="-5"/>
        </w:rPr>
        <w:t xml:space="preserve"> to</w:t>
      </w:r>
      <w:r>
        <w:rPr>
          <w:spacing w:val="-3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collective </w:t>
      </w:r>
      <w:r>
        <w:t>research</w:t>
      </w:r>
      <w:r>
        <w:rPr>
          <w:spacing w:val="-2"/>
        </w:rPr>
        <w:t xml:space="preserve"> </w:t>
      </w:r>
      <w:r>
        <w:t>enterprise.</w:t>
      </w:r>
      <w:r>
        <w:rPr>
          <w:spacing w:val="40"/>
        </w:rPr>
        <w:t xml:space="preserve"> </w:t>
      </w:r>
    </w:p>
    <w:p w:rsidR="005F137F" w:rsidRDefault="005F137F" w14:paraId="4E5A5F9F" w14:textId="77777777">
      <w:pPr>
        <w:pStyle w:val="BodyText"/>
        <w:spacing w:before="1"/>
        <w:ind w:left="388"/>
      </w:pPr>
    </w:p>
    <w:p w:rsidR="00DC302B" w:rsidP="00E055D5" w:rsidRDefault="00444134" w14:paraId="75EBFD62" w14:textId="0BB3A2B8">
      <w:pPr>
        <w:pStyle w:val="BodyText"/>
        <w:spacing w:before="1"/>
        <w:ind w:left="388"/>
        <w:rPr>
          <w:spacing w:val="40"/>
        </w:rPr>
      </w:pPr>
      <w:r>
        <w:rPr>
          <w:b/>
        </w:rPr>
        <w:t xml:space="preserve">F&amp;A Rate Policy Statement – </w:t>
      </w:r>
      <w:r>
        <w:t xml:space="preserve">The College of Arts and Sciences requires the use of the </w:t>
      </w:r>
      <w:r w:rsidR="00FA70DE">
        <w:t>federally</w:t>
      </w:r>
      <w:r>
        <w:rPr>
          <w:spacing w:val="-5"/>
        </w:rPr>
        <w:t xml:space="preserve"> </w:t>
      </w:r>
      <w:r>
        <w:t>negotiated</w:t>
      </w:r>
      <w:r>
        <w:rPr>
          <w:spacing w:val="-6"/>
        </w:rPr>
        <w:t xml:space="preserve"> </w:t>
      </w:r>
      <w:r w:rsidR="00F31A41">
        <w:t>rates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sponsored</w:t>
      </w:r>
      <w:r>
        <w:rPr>
          <w:spacing w:val="-6"/>
        </w:rPr>
        <w:t xml:space="preserve"> </w:t>
      </w:r>
      <w:r>
        <w:t>projects.</w:t>
      </w:r>
      <w:r>
        <w:rPr>
          <w:spacing w:val="40"/>
        </w:rPr>
        <w:t xml:space="preserve"> </w:t>
      </w:r>
      <w:r w:rsidR="00E055D5">
        <w:t xml:space="preserve">The University negotiates the </w:t>
      </w:r>
      <w:hyperlink w:history="1" r:id="rId8">
        <w:r w:rsidRPr="009B2B0F" w:rsidR="00E055D5">
          <w:rPr>
            <w:rStyle w:val="Hyperlink"/>
          </w:rPr>
          <w:t>F&amp;A</w:t>
        </w:r>
        <w:r w:rsidRPr="009B2B0F" w:rsidR="00E055D5">
          <w:rPr>
            <w:rStyle w:val="Hyperlink"/>
            <w:spacing w:val="-4"/>
          </w:rPr>
          <w:t xml:space="preserve"> </w:t>
        </w:r>
        <w:r w:rsidRPr="009B2B0F" w:rsidR="00E055D5">
          <w:rPr>
            <w:rStyle w:val="Hyperlink"/>
          </w:rPr>
          <w:t>rate</w:t>
        </w:r>
        <w:r w:rsidRPr="009B2B0F" w:rsidR="00E055D5">
          <w:rPr>
            <w:rStyle w:val="Hyperlink"/>
            <w:spacing w:val="-2"/>
          </w:rPr>
          <w:t xml:space="preserve"> </w:t>
        </w:r>
        <w:r w:rsidRPr="009B2B0F" w:rsidR="00E055D5">
          <w:rPr>
            <w:rStyle w:val="Hyperlink"/>
          </w:rPr>
          <w:t>agreement</w:t>
        </w:r>
      </w:hyperlink>
      <w:r w:rsidR="00E055D5">
        <w:rPr>
          <w:spacing w:val="-3"/>
        </w:rPr>
        <w:t xml:space="preserve"> with the </w:t>
      </w:r>
      <w:r w:rsidR="00E055D5">
        <w:t>Department</w:t>
      </w:r>
      <w:r w:rsidR="00E055D5">
        <w:rPr>
          <w:spacing w:val="-3"/>
        </w:rPr>
        <w:t xml:space="preserve"> </w:t>
      </w:r>
      <w:r w:rsidR="00E055D5">
        <w:t>of Health</w:t>
      </w:r>
      <w:r w:rsidR="00E055D5">
        <w:rPr>
          <w:spacing w:val="-2"/>
        </w:rPr>
        <w:t xml:space="preserve"> </w:t>
      </w:r>
      <w:r w:rsidR="00E055D5">
        <w:t>and</w:t>
      </w:r>
      <w:r w:rsidR="00E055D5">
        <w:rPr>
          <w:spacing w:val="-6"/>
        </w:rPr>
        <w:t xml:space="preserve"> </w:t>
      </w:r>
      <w:r w:rsidR="00E055D5">
        <w:t>Human Services (DHHS).</w:t>
      </w:r>
      <w:r w:rsidR="00E055D5">
        <w:rPr>
          <w:spacing w:val="40"/>
        </w:rPr>
        <w:t xml:space="preserve"> The formula</w:t>
      </w:r>
      <w:r w:rsidR="00E055D5">
        <w:t xml:space="preserve"> is based on actual research expenditures incurred by the university. </w:t>
      </w:r>
      <w:r w:rsidR="00DC302B">
        <w:t xml:space="preserve">Indirect costs are </w:t>
      </w:r>
      <w:r w:rsidR="00314DF5">
        <w:t>actual costs</w:t>
      </w:r>
      <w:r w:rsidR="00DC302B">
        <w:t xml:space="preserve"> associated with conducting research</w:t>
      </w:r>
      <w:r w:rsidR="00681293">
        <w:t>,</w:t>
      </w:r>
      <w:r w:rsidR="00DC302B">
        <w:t xml:space="preserve"> and their recovery is critical to the financial health of the college and its ability to </w:t>
      </w:r>
      <w:r w:rsidR="00FA70DE">
        <w:t>support</w:t>
      </w:r>
      <w:r w:rsidR="00DC302B">
        <w:t xml:space="preserve"> and grow the research enterprise.</w:t>
      </w:r>
      <w:r w:rsidR="00DC302B">
        <w:rPr>
          <w:spacing w:val="40"/>
        </w:rPr>
        <w:t xml:space="preserve"> </w:t>
      </w:r>
    </w:p>
    <w:p w:rsidR="00DC302B" w:rsidP="00E055D5" w:rsidRDefault="00DC302B" w14:paraId="7CE391DA" w14:textId="77777777">
      <w:pPr>
        <w:pStyle w:val="BodyText"/>
        <w:spacing w:before="1"/>
        <w:ind w:left="388"/>
      </w:pPr>
    </w:p>
    <w:p w:rsidR="00651783" w:rsidP="00E055D5" w:rsidRDefault="00DC302B" w14:paraId="225A0277" w14:textId="2D4EE784">
      <w:pPr>
        <w:pStyle w:val="BodyText"/>
        <w:spacing w:before="1"/>
        <w:ind w:left="388"/>
      </w:pPr>
      <w:r w:rsidRPr="00444134">
        <w:rPr>
          <w:i/>
          <w:iCs/>
        </w:rPr>
        <w:t>Each</w:t>
      </w:r>
      <w:r w:rsidRPr="00444134">
        <w:rPr>
          <w:i/>
          <w:iCs/>
          <w:spacing w:val="-3"/>
        </w:rPr>
        <w:t xml:space="preserve"> </w:t>
      </w:r>
      <w:r w:rsidRPr="00444134">
        <w:rPr>
          <w:i/>
          <w:iCs/>
        </w:rPr>
        <w:t>sponsored</w:t>
      </w:r>
      <w:r w:rsidRPr="00444134">
        <w:rPr>
          <w:i/>
          <w:iCs/>
          <w:spacing w:val="-2"/>
        </w:rPr>
        <w:t xml:space="preserve"> </w:t>
      </w:r>
      <w:r w:rsidRPr="00444134">
        <w:rPr>
          <w:i/>
          <w:iCs/>
        </w:rPr>
        <w:t>project</w:t>
      </w:r>
      <w:r w:rsidRPr="00444134">
        <w:rPr>
          <w:i/>
          <w:iCs/>
          <w:spacing w:val="-3"/>
        </w:rPr>
        <w:t xml:space="preserve"> </w:t>
      </w:r>
      <w:r w:rsidR="00A960CF">
        <w:rPr>
          <w:i/>
          <w:iCs/>
          <w:spacing w:val="-3"/>
        </w:rPr>
        <w:t>accepted</w:t>
      </w:r>
      <w:r w:rsidRPr="00444134">
        <w:rPr>
          <w:i/>
          <w:iCs/>
          <w:spacing w:val="-2"/>
        </w:rPr>
        <w:t xml:space="preserve"> </w:t>
      </w:r>
      <w:r w:rsidRPr="00444134">
        <w:rPr>
          <w:i/>
          <w:iCs/>
        </w:rPr>
        <w:t>with</w:t>
      </w:r>
      <w:r w:rsidRPr="00444134">
        <w:rPr>
          <w:i/>
          <w:iCs/>
          <w:spacing w:val="-2"/>
        </w:rPr>
        <w:t xml:space="preserve"> </w:t>
      </w:r>
      <w:r w:rsidRPr="00444134">
        <w:rPr>
          <w:i/>
          <w:iCs/>
        </w:rPr>
        <w:t>less</w:t>
      </w:r>
      <w:r w:rsidRPr="00444134">
        <w:rPr>
          <w:i/>
          <w:iCs/>
          <w:spacing w:val="-1"/>
        </w:rPr>
        <w:t xml:space="preserve"> </w:t>
      </w:r>
      <w:r w:rsidRPr="00444134">
        <w:rPr>
          <w:i/>
          <w:iCs/>
        </w:rPr>
        <w:t>than</w:t>
      </w:r>
      <w:r w:rsidRPr="00444134">
        <w:rPr>
          <w:i/>
          <w:iCs/>
          <w:spacing w:val="-4"/>
        </w:rPr>
        <w:t xml:space="preserve"> </w:t>
      </w:r>
      <w:r w:rsidRPr="00444134">
        <w:rPr>
          <w:i/>
          <w:iCs/>
        </w:rPr>
        <w:t>the</w:t>
      </w:r>
      <w:r w:rsidRPr="00444134">
        <w:rPr>
          <w:i/>
          <w:iCs/>
          <w:spacing w:val="-4"/>
        </w:rPr>
        <w:t xml:space="preserve"> </w:t>
      </w:r>
      <w:r w:rsidRPr="00444134">
        <w:rPr>
          <w:i/>
          <w:iCs/>
        </w:rPr>
        <w:t>standard</w:t>
      </w:r>
      <w:r w:rsidRPr="00444134">
        <w:rPr>
          <w:i/>
          <w:iCs/>
          <w:spacing w:val="-2"/>
        </w:rPr>
        <w:t xml:space="preserve"> </w:t>
      </w:r>
      <w:r w:rsidRPr="00444134">
        <w:rPr>
          <w:i/>
          <w:iCs/>
        </w:rPr>
        <w:t>indirect cost</w:t>
      </w:r>
      <w:r w:rsidRPr="00444134">
        <w:rPr>
          <w:i/>
          <w:iCs/>
          <w:spacing w:val="-3"/>
        </w:rPr>
        <w:t xml:space="preserve"> </w:t>
      </w:r>
      <w:r w:rsidRPr="00444134">
        <w:rPr>
          <w:i/>
          <w:iCs/>
        </w:rPr>
        <w:t>rate</w:t>
      </w:r>
      <w:r w:rsidRPr="00444134">
        <w:rPr>
          <w:i/>
          <w:iCs/>
          <w:spacing w:val="-4"/>
        </w:rPr>
        <w:t xml:space="preserve"> negatively </w:t>
      </w:r>
      <w:r w:rsidRPr="00444134">
        <w:rPr>
          <w:i/>
          <w:iCs/>
        </w:rPr>
        <w:t xml:space="preserve">affects the long-term financial health of the college and the entire university. </w:t>
      </w:r>
    </w:p>
    <w:p w:rsidR="00F13CC2" w:rsidP="00444134" w:rsidRDefault="00F13CC2" w14:paraId="416297CE" w14:textId="77777777">
      <w:pPr>
        <w:tabs>
          <w:tab w:val="left" w:pos="1108"/>
          <w:tab w:val="left" w:pos="1109"/>
        </w:tabs>
        <w:spacing w:line="271" w:lineRule="auto"/>
        <w:ind w:right="945"/>
      </w:pPr>
    </w:p>
    <w:p w:rsidR="00E85E0C" w:rsidP="00444134" w:rsidRDefault="00F4239A" w14:paraId="775BC9DE" w14:textId="3525678B">
      <w:pPr>
        <w:pStyle w:val="BodyText"/>
        <w:ind w:left="389" w:hanging="1"/>
      </w:pPr>
      <w:r>
        <w:rPr>
          <w:b/>
        </w:rPr>
        <w:t xml:space="preserve">Only the </w:t>
      </w:r>
      <w:r w:rsidRPr="00444134">
        <w:rPr>
          <w:b/>
          <w:i/>
          <w:iCs/>
        </w:rPr>
        <w:t>Authorized</w:t>
      </w:r>
      <w:r w:rsidRPr="00444134">
        <w:rPr>
          <w:b/>
          <w:i/>
          <w:iCs/>
          <w:spacing w:val="-4"/>
        </w:rPr>
        <w:t xml:space="preserve"> </w:t>
      </w:r>
      <w:r w:rsidRPr="00444134">
        <w:rPr>
          <w:b/>
          <w:i/>
          <w:iCs/>
        </w:rPr>
        <w:t>Official</w:t>
      </w:r>
      <w:r>
        <w:rPr>
          <w:b/>
        </w:rPr>
        <w:t xml:space="preserve"> can Negotiate Rates</w:t>
      </w:r>
      <w:r>
        <w:rPr>
          <w:b/>
          <w:spacing w:val="-3"/>
        </w:rPr>
        <w:t xml:space="preserve"> </w:t>
      </w:r>
      <w:r w:rsidR="009656A4">
        <w:t>–</w:t>
      </w:r>
      <w:r>
        <w:rPr>
          <w:spacing w:val="-3"/>
        </w:rPr>
        <w:t xml:space="preserve"> </w:t>
      </w:r>
      <w:r w:rsidR="009656A4">
        <w:rPr>
          <w:spacing w:val="-3"/>
        </w:rPr>
        <w:t xml:space="preserve">While </w:t>
      </w:r>
      <w:r w:rsidR="00DD3AF3">
        <w:rPr>
          <w:spacing w:val="-3"/>
        </w:rPr>
        <w:t xml:space="preserve">the college encourages </w:t>
      </w:r>
      <w:r w:rsidR="00DD3AF3">
        <w:t>i</w:t>
      </w:r>
      <w:r>
        <w:t>nvestigators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discuss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t xml:space="preserve">of work with a potential sponsor, </w:t>
      </w:r>
      <w:r w:rsidR="00B742E9">
        <w:t>investigators</w:t>
      </w:r>
      <w:r>
        <w:t xml:space="preserve"> are not authorized to negotiate F&amp;A costs. Any </w:t>
      </w:r>
      <w:r w:rsidRPr="00444134">
        <w:rPr>
          <w:i/>
          <w:iCs/>
        </w:rPr>
        <w:t>prior understandin</w:t>
      </w:r>
      <w:r w:rsidRPr="00444134" w:rsidR="00C749DE">
        <w:rPr>
          <w:i/>
          <w:iCs/>
        </w:rPr>
        <w:t>g</w:t>
      </w:r>
      <w:r w:rsidR="00C749DE">
        <w:t xml:space="preserve"> </w:t>
      </w:r>
      <w:r>
        <w:t>between an investigator and a sponsor regarding F&amp;A rate is not binding for the university or college.</w:t>
      </w:r>
      <w:r w:rsidRPr="004750CA" w:rsidR="004750CA">
        <w:t xml:space="preserve"> </w:t>
      </w:r>
      <w:r w:rsidR="004750CA">
        <w:t>The investigator is not authorized to approve any F&amp;A rate on behalf of the college.</w:t>
      </w:r>
      <w:r w:rsidR="00764C56">
        <w:t xml:space="preserve"> </w:t>
      </w:r>
    </w:p>
    <w:p w:rsidR="00E85E0C" w:rsidRDefault="00E85E0C" w14:paraId="46B41E15" w14:textId="77777777">
      <w:pPr>
        <w:pStyle w:val="BodyText"/>
        <w:spacing w:before="1"/>
        <w:ind w:left="389" w:right="210"/>
      </w:pPr>
    </w:p>
    <w:p w:rsidR="00535AAB" w:rsidRDefault="00E85E0C" w14:paraId="4312E9A4" w14:textId="25E091EF">
      <w:pPr>
        <w:pStyle w:val="BodyText"/>
        <w:spacing w:before="1"/>
        <w:ind w:left="389" w:right="210"/>
      </w:pPr>
      <w:r w:rsidRPr="00444134">
        <w:rPr>
          <w:b/>
          <w:bCs/>
        </w:rPr>
        <w:t>I</w:t>
      </w:r>
      <w:r w:rsidRPr="00444134" w:rsidR="00444134">
        <w:rPr>
          <w:b/>
          <w:bCs/>
        </w:rPr>
        <w:t>ndustry sponsors</w:t>
      </w:r>
      <w:r w:rsidR="00444134">
        <w:t xml:space="preserve"> will be subject to at least our negotiated F&amp;A rates</w:t>
      </w:r>
      <w:r>
        <w:t xml:space="preserve"> and a</w:t>
      </w:r>
      <w:r w:rsidR="00444134">
        <w:t>ll such negotiations</w:t>
      </w:r>
      <w:r w:rsidR="00A60406">
        <w:t xml:space="preserve"> with industry sponsors</w:t>
      </w:r>
      <w:r w:rsidR="00444134">
        <w:t xml:space="preserve"> should be conducted by the Office</w:t>
      </w:r>
      <w:r w:rsidR="00444134">
        <w:rPr>
          <w:spacing w:val="-4"/>
        </w:rPr>
        <w:t xml:space="preserve"> </w:t>
      </w:r>
      <w:r w:rsidR="00444134">
        <w:t>of</w:t>
      </w:r>
      <w:r w:rsidR="00444134">
        <w:rPr>
          <w:spacing w:val="-2"/>
        </w:rPr>
        <w:t xml:space="preserve"> </w:t>
      </w:r>
      <w:r w:rsidR="00444134">
        <w:t>Sponsored</w:t>
      </w:r>
      <w:r w:rsidR="00444134">
        <w:rPr>
          <w:spacing w:val="-4"/>
        </w:rPr>
        <w:t xml:space="preserve"> </w:t>
      </w:r>
      <w:r w:rsidR="00444134">
        <w:t>Programs</w:t>
      </w:r>
      <w:r w:rsidR="00444134">
        <w:rPr>
          <w:spacing w:val="-6"/>
        </w:rPr>
        <w:t xml:space="preserve"> </w:t>
      </w:r>
      <w:r w:rsidR="00444134">
        <w:t>(OSP)</w:t>
      </w:r>
      <w:r w:rsidR="00444134">
        <w:rPr>
          <w:spacing w:val="-5"/>
        </w:rPr>
        <w:t xml:space="preserve"> </w:t>
      </w:r>
      <w:r w:rsidR="00444134">
        <w:t>or</w:t>
      </w:r>
      <w:r w:rsidR="00444134">
        <w:rPr>
          <w:spacing w:val="-5"/>
        </w:rPr>
        <w:t xml:space="preserve"> </w:t>
      </w:r>
      <w:r w:rsidR="00444134">
        <w:t>the</w:t>
      </w:r>
      <w:r w:rsidR="00444134">
        <w:rPr>
          <w:spacing w:val="-8"/>
        </w:rPr>
        <w:t xml:space="preserve"> </w:t>
      </w:r>
      <w:r w:rsidR="00444134">
        <w:t>Technology</w:t>
      </w:r>
      <w:r w:rsidR="00444134">
        <w:rPr>
          <w:spacing w:val="-6"/>
        </w:rPr>
        <w:t xml:space="preserve"> </w:t>
      </w:r>
      <w:r w:rsidR="00444134">
        <w:t>Commercialization</w:t>
      </w:r>
      <w:r w:rsidR="00444134">
        <w:rPr>
          <w:spacing w:val="-4"/>
        </w:rPr>
        <w:t xml:space="preserve"> </w:t>
      </w:r>
      <w:r w:rsidR="00444134">
        <w:t>Office</w:t>
      </w:r>
      <w:r w:rsidR="00444134">
        <w:rPr>
          <w:spacing w:val="-6"/>
        </w:rPr>
        <w:t xml:space="preserve"> </w:t>
      </w:r>
      <w:r w:rsidR="00444134">
        <w:t>(TCO),</w:t>
      </w:r>
      <w:r w:rsidR="00444134">
        <w:rPr>
          <w:spacing w:val="-2"/>
        </w:rPr>
        <w:t xml:space="preserve"> </w:t>
      </w:r>
      <w:r w:rsidR="00444134">
        <w:t>and</w:t>
      </w:r>
      <w:r w:rsidR="00444134">
        <w:rPr>
          <w:spacing w:val="-6"/>
        </w:rPr>
        <w:t xml:space="preserve"> </w:t>
      </w:r>
      <w:r w:rsidR="00444134">
        <w:t>not</w:t>
      </w:r>
      <w:r w:rsidR="00444134">
        <w:rPr>
          <w:spacing w:val="-5"/>
        </w:rPr>
        <w:t xml:space="preserve"> </w:t>
      </w:r>
      <w:r w:rsidR="00444134">
        <w:t>by</w:t>
      </w:r>
      <w:r w:rsidR="00444134">
        <w:rPr>
          <w:spacing w:val="-6"/>
        </w:rPr>
        <w:t xml:space="preserve"> </w:t>
      </w:r>
      <w:r w:rsidR="00444134">
        <w:t xml:space="preserve">the </w:t>
      </w:r>
      <w:r w:rsidR="00444134">
        <w:rPr>
          <w:spacing w:val="-2"/>
        </w:rPr>
        <w:t>investigator.</w:t>
      </w:r>
    </w:p>
    <w:p w:rsidR="00535AAB" w:rsidRDefault="00535AAB" w14:paraId="4312E9A5" w14:textId="77777777">
      <w:pPr>
        <w:pStyle w:val="BodyText"/>
        <w:spacing w:before="1"/>
      </w:pPr>
    </w:p>
    <w:p w:rsidR="00535AAB" w:rsidRDefault="00444134" w14:paraId="4312E9A6" w14:textId="530266F4">
      <w:pPr>
        <w:pStyle w:val="BodyText"/>
        <w:ind w:left="389" w:right="329" w:hanging="1"/>
      </w:pPr>
      <w:r>
        <w:t>Please</w:t>
      </w:r>
      <w:r>
        <w:rPr>
          <w:spacing w:val="-4"/>
        </w:rPr>
        <w:t xml:space="preserve"> </w:t>
      </w:r>
      <w:r>
        <w:t>consult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ASC</w:t>
      </w:r>
      <w:r>
        <w:rPr>
          <w:spacing w:val="-4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Executive</w:t>
      </w:r>
      <w:r>
        <w:rPr>
          <w:spacing w:val="-1"/>
        </w:rPr>
        <w:t xml:space="preserve"> </w:t>
      </w:r>
      <w:r>
        <w:t>Dean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Research early and often to ensure that any F&amp;A rate discussions that deviate from the above guidance are clearly communicated and agreed in advance of a proposal submission.</w:t>
      </w:r>
    </w:p>
    <w:p w:rsidR="00A60406" w:rsidRDefault="00A60406" w14:paraId="1E3480B9" w14:textId="77777777">
      <w:pPr>
        <w:pStyle w:val="BodyText"/>
        <w:ind w:left="389" w:right="329" w:hanging="1"/>
      </w:pPr>
    </w:p>
    <w:p w:rsidRPr="00444134" w:rsidR="00CD7C51" w:rsidP="000150AE" w:rsidRDefault="00CD7C51" w14:paraId="47E0A561" w14:textId="71128101">
      <w:pPr>
        <w:tabs>
          <w:tab w:val="left" w:pos="1108"/>
          <w:tab w:val="left" w:pos="1109"/>
        </w:tabs>
        <w:spacing w:before="4" w:line="276" w:lineRule="auto"/>
        <w:ind w:left="450" w:right="287"/>
        <w:rPr>
          <w:sz w:val="20"/>
          <w:szCs w:val="20"/>
        </w:rPr>
      </w:pPr>
      <w:r w:rsidRPr="00444134">
        <w:rPr>
          <w:sz w:val="20"/>
          <w:szCs w:val="20"/>
        </w:rPr>
        <w:t>*Federally sponsored clinical trials are subject to the federally negotiated F&amp;A rate. Industry sponsored</w:t>
      </w:r>
      <w:r w:rsidRPr="00444134">
        <w:rPr>
          <w:spacing w:val="-4"/>
          <w:sz w:val="20"/>
          <w:szCs w:val="20"/>
        </w:rPr>
        <w:t xml:space="preserve"> </w:t>
      </w:r>
      <w:r w:rsidRPr="00444134">
        <w:rPr>
          <w:sz w:val="20"/>
          <w:szCs w:val="20"/>
        </w:rPr>
        <w:t>research</w:t>
      </w:r>
      <w:r w:rsidRPr="00444134">
        <w:rPr>
          <w:spacing w:val="-4"/>
          <w:sz w:val="20"/>
          <w:szCs w:val="20"/>
        </w:rPr>
        <w:t xml:space="preserve"> </w:t>
      </w:r>
      <w:r w:rsidRPr="00444134">
        <w:rPr>
          <w:sz w:val="20"/>
          <w:szCs w:val="20"/>
        </w:rPr>
        <w:t>that</w:t>
      </w:r>
      <w:r w:rsidRPr="00444134">
        <w:rPr>
          <w:spacing w:val="-5"/>
          <w:sz w:val="20"/>
          <w:szCs w:val="20"/>
        </w:rPr>
        <w:t xml:space="preserve"> </w:t>
      </w:r>
      <w:r w:rsidRPr="00444134">
        <w:rPr>
          <w:sz w:val="20"/>
          <w:szCs w:val="20"/>
        </w:rPr>
        <w:t>does</w:t>
      </w:r>
      <w:r w:rsidRPr="00444134">
        <w:rPr>
          <w:spacing w:val="-1"/>
          <w:sz w:val="20"/>
          <w:szCs w:val="20"/>
        </w:rPr>
        <w:t xml:space="preserve"> </w:t>
      </w:r>
      <w:r w:rsidRPr="00444134">
        <w:rPr>
          <w:sz w:val="20"/>
          <w:szCs w:val="20"/>
        </w:rPr>
        <w:t>not</w:t>
      </w:r>
      <w:r w:rsidRPr="00444134">
        <w:rPr>
          <w:spacing w:val="-3"/>
          <w:sz w:val="20"/>
          <w:szCs w:val="20"/>
        </w:rPr>
        <w:t xml:space="preserve"> </w:t>
      </w:r>
      <w:r w:rsidRPr="00444134">
        <w:rPr>
          <w:sz w:val="20"/>
          <w:szCs w:val="20"/>
        </w:rPr>
        <w:t>meet</w:t>
      </w:r>
      <w:r w:rsidRPr="00444134">
        <w:rPr>
          <w:spacing w:val="-2"/>
          <w:sz w:val="20"/>
          <w:szCs w:val="20"/>
        </w:rPr>
        <w:t xml:space="preserve"> </w:t>
      </w:r>
      <w:r w:rsidRPr="00444134">
        <w:rPr>
          <w:sz w:val="20"/>
          <w:szCs w:val="20"/>
        </w:rPr>
        <w:t>the</w:t>
      </w:r>
      <w:r w:rsidRPr="00444134">
        <w:rPr>
          <w:spacing w:val="-4"/>
          <w:sz w:val="20"/>
          <w:szCs w:val="20"/>
        </w:rPr>
        <w:t xml:space="preserve"> </w:t>
      </w:r>
      <w:r w:rsidRPr="00444134">
        <w:rPr>
          <w:sz w:val="20"/>
          <w:szCs w:val="20"/>
        </w:rPr>
        <w:t>definition</w:t>
      </w:r>
      <w:r w:rsidRPr="00444134">
        <w:rPr>
          <w:spacing w:val="-2"/>
          <w:sz w:val="20"/>
          <w:szCs w:val="20"/>
        </w:rPr>
        <w:t xml:space="preserve"> </w:t>
      </w:r>
      <w:r w:rsidRPr="00444134">
        <w:rPr>
          <w:sz w:val="20"/>
          <w:szCs w:val="20"/>
        </w:rPr>
        <w:t>of a</w:t>
      </w:r>
      <w:r w:rsidRPr="00444134">
        <w:rPr>
          <w:spacing w:val="-4"/>
          <w:sz w:val="20"/>
          <w:szCs w:val="20"/>
        </w:rPr>
        <w:t xml:space="preserve"> </w:t>
      </w:r>
      <w:r w:rsidRPr="00444134">
        <w:rPr>
          <w:sz w:val="20"/>
          <w:szCs w:val="20"/>
        </w:rPr>
        <w:t>clinical</w:t>
      </w:r>
      <w:r w:rsidRPr="00444134">
        <w:rPr>
          <w:spacing w:val="-2"/>
          <w:sz w:val="20"/>
          <w:szCs w:val="20"/>
        </w:rPr>
        <w:t xml:space="preserve"> </w:t>
      </w:r>
      <w:r w:rsidRPr="00444134">
        <w:rPr>
          <w:sz w:val="20"/>
          <w:szCs w:val="20"/>
        </w:rPr>
        <w:t>trial</w:t>
      </w:r>
      <w:r w:rsidRPr="00444134">
        <w:rPr>
          <w:spacing w:val="-2"/>
          <w:sz w:val="20"/>
          <w:szCs w:val="20"/>
        </w:rPr>
        <w:t xml:space="preserve"> </w:t>
      </w:r>
      <w:r w:rsidRPr="00444134">
        <w:rPr>
          <w:sz w:val="20"/>
          <w:szCs w:val="20"/>
        </w:rPr>
        <w:t>is</w:t>
      </w:r>
      <w:r w:rsidRPr="00444134">
        <w:rPr>
          <w:spacing w:val="-4"/>
          <w:sz w:val="20"/>
          <w:szCs w:val="20"/>
        </w:rPr>
        <w:t xml:space="preserve"> </w:t>
      </w:r>
      <w:r w:rsidRPr="00444134">
        <w:rPr>
          <w:sz w:val="20"/>
          <w:szCs w:val="20"/>
        </w:rPr>
        <w:t>subject</w:t>
      </w:r>
      <w:r w:rsidRPr="00444134">
        <w:rPr>
          <w:spacing w:val="-2"/>
          <w:sz w:val="20"/>
          <w:szCs w:val="20"/>
        </w:rPr>
        <w:t xml:space="preserve"> </w:t>
      </w:r>
      <w:r w:rsidRPr="00444134">
        <w:rPr>
          <w:sz w:val="20"/>
          <w:szCs w:val="20"/>
        </w:rPr>
        <w:t>to</w:t>
      </w:r>
      <w:r w:rsidRPr="00444134">
        <w:rPr>
          <w:spacing w:val="-4"/>
          <w:sz w:val="20"/>
          <w:szCs w:val="20"/>
        </w:rPr>
        <w:t xml:space="preserve"> </w:t>
      </w:r>
      <w:r w:rsidRPr="00444134">
        <w:rPr>
          <w:sz w:val="20"/>
          <w:szCs w:val="20"/>
        </w:rPr>
        <w:t>at least</w:t>
      </w:r>
      <w:r w:rsidRPr="00444134">
        <w:rPr>
          <w:spacing w:val="-2"/>
          <w:sz w:val="20"/>
          <w:szCs w:val="20"/>
        </w:rPr>
        <w:t xml:space="preserve"> </w:t>
      </w:r>
      <w:r w:rsidRPr="00444134">
        <w:rPr>
          <w:sz w:val="20"/>
          <w:szCs w:val="20"/>
        </w:rPr>
        <w:t>the</w:t>
      </w:r>
      <w:r w:rsidRPr="00444134">
        <w:rPr>
          <w:spacing w:val="-6"/>
          <w:sz w:val="20"/>
          <w:szCs w:val="20"/>
        </w:rPr>
        <w:t xml:space="preserve"> </w:t>
      </w:r>
      <w:r w:rsidRPr="00444134">
        <w:rPr>
          <w:sz w:val="20"/>
          <w:szCs w:val="20"/>
        </w:rPr>
        <w:t>full F&amp;A rate.</w:t>
      </w:r>
    </w:p>
    <w:p w:rsidR="00727CF3" w:rsidRDefault="00727CF3" w14:paraId="4A5AF31F" w14:textId="77777777"/>
    <w:p w:rsidR="00727CF3" w:rsidRDefault="00727CF3" w14:paraId="5BFBF1CA" w14:textId="77777777"/>
    <w:p w:rsidR="00727CF3" w:rsidRDefault="00727CF3" w14:paraId="6C0DB63C" w14:textId="77777777"/>
    <w:p w:rsidR="00727CF3" w:rsidRDefault="00727CF3" w14:paraId="73C3960F" w14:textId="77777777"/>
    <w:p w:rsidR="00727CF3" w:rsidRDefault="00727CF3" w14:paraId="63B24B85" w14:textId="77777777"/>
    <w:p w:rsidR="00727CF3" w:rsidRDefault="00727CF3" w14:paraId="328B69BF" w14:textId="77777777"/>
    <w:p w:rsidR="00727CF3" w:rsidRDefault="00727CF3" w14:paraId="1122EAC2" w14:textId="77777777"/>
    <w:p w:rsidR="00727CF3" w:rsidRDefault="00727CF3" w14:paraId="7F293D67" w14:textId="77777777"/>
    <w:p w:rsidR="00727CF3" w:rsidRDefault="00727CF3" w14:paraId="78124C4E" w14:textId="77777777"/>
    <w:p w:rsidR="00727CF3" w:rsidRDefault="00727CF3" w14:paraId="15ED4756" w14:textId="77777777"/>
    <w:p w:rsidR="00727CF3" w:rsidRDefault="00144FF9" w14:paraId="1EF68FEE" w14:textId="3DB2AF11">
      <w:r>
        <w:rPr>
          <w:noProof/>
        </w:rPr>
        <w:drawing>
          <wp:anchor distT="0" distB="0" distL="0" distR="0" simplePos="0" relativeHeight="251659264" behindDoc="0" locked="0" layoutInCell="1" allowOverlap="1" wp14:anchorId="0AF2FB7E" wp14:editId="7B35DB4B">
            <wp:simplePos x="0" y="0"/>
            <wp:positionH relativeFrom="page">
              <wp:posOffset>457200</wp:posOffset>
            </wp:positionH>
            <wp:positionV relativeFrom="paragraph">
              <wp:posOffset>-635</wp:posOffset>
            </wp:positionV>
            <wp:extent cx="3190239" cy="455290"/>
            <wp:effectExtent l="0" t="0" r="0" b="0"/>
            <wp:wrapNone/>
            <wp:docPr id="1" name="image1.jpeg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Text&#10;&#10;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239" cy="45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7CF3" w:rsidRDefault="00727CF3" w14:paraId="33E77FC5" w14:textId="77777777"/>
    <w:p w:rsidR="00727CF3" w:rsidRDefault="00727CF3" w14:paraId="2EFB17A0" w14:textId="77777777"/>
    <w:p w:rsidR="00727CF3" w:rsidRDefault="00727CF3" w14:paraId="5A01D70A" w14:textId="77777777"/>
    <w:p w:rsidR="00727CF3" w:rsidRDefault="00727CF3" w14:paraId="047DEC2E" w14:textId="77777777"/>
    <w:p w:rsidR="00727CF3" w:rsidRDefault="00727CF3" w14:paraId="7462DA38" w14:textId="6B414E17"/>
    <w:p w:rsidRPr="00144FF9" w:rsidR="00727CF3" w:rsidRDefault="00727CF3" w14:paraId="435DC077" w14:textId="6C126977">
      <w:pPr>
        <w:rPr>
          <w:b/>
          <w:bCs/>
          <w:sz w:val="32"/>
          <w:szCs w:val="32"/>
        </w:rPr>
      </w:pPr>
      <w:r w:rsidRPr="00144FF9">
        <w:rPr>
          <w:b/>
          <w:bCs/>
          <w:sz w:val="32"/>
          <w:szCs w:val="32"/>
        </w:rPr>
        <w:t xml:space="preserve">Indirect Rate Approval Matrix </w:t>
      </w:r>
    </w:p>
    <w:p w:rsidR="00727CF3" w:rsidRDefault="00727CF3" w14:paraId="1964E4A2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99"/>
        <w:gridCol w:w="2407"/>
        <w:gridCol w:w="2314"/>
      </w:tblGrid>
      <w:tr w:rsidR="00727CF3" w:rsidTr="150B2122" w14:paraId="452070FA" w14:textId="77777777">
        <w:tc>
          <w:tcPr>
            <w:tcW w:w="5999" w:type="dxa"/>
            <w:shd w:val="clear" w:color="auto" w:fill="C00000"/>
            <w:tcMar/>
          </w:tcPr>
          <w:p w:rsidRPr="00245EDB" w:rsidR="00727CF3" w:rsidP="00EF3631" w:rsidRDefault="00727CF3" w14:paraId="7B75B79F" w14:textId="77777777">
            <w:pPr>
              <w:rPr>
                <w:b/>
                <w:bCs/>
                <w:sz w:val="24"/>
                <w:szCs w:val="24"/>
              </w:rPr>
            </w:pPr>
            <w:r w:rsidRPr="00245EDB">
              <w:rPr>
                <w:b/>
                <w:bCs/>
                <w:sz w:val="24"/>
                <w:szCs w:val="24"/>
              </w:rPr>
              <w:t>Situation</w:t>
            </w:r>
          </w:p>
        </w:tc>
        <w:tc>
          <w:tcPr>
            <w:tcW w:w="2407" w:type="dxa"/>
            <w:shd w:val="clear" w:color="auto" w:fill="C00000"/>
            <w:tcMar/>
          </w:tcPr>
          <w:p w:rsidRPr="00245EDB" w:rsidR="00727CF3" w:rsidP="00EF3631" w:rsidRDefault="00727CF3" w14:paraId="6E1241B3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245EDB">
              <w:rPr>
                <w:b/>
                <w:bCs/>
                <w:sz w:val="24"/>
                <w:szCs w:val="24"/>
              </w:rPr>
              <w:t>Approval Needed</w:t>
            </w:r>
          </w:p>
        </w:tc>
        <w:tc>
          <w:tcPr>
            <w:tcW w:w="2314" w:type="dxa"/>
            <w:shd w:val="clear" w:color="auto" w:fill="C00000"/>
            <w:tcMar/>
          </w:tcPr>
          <w:p w:rsidRPr="00245EDB" w:rsidR="00727CF3" w:rsidP="00EF3631" w:rsidRDefault="00727CF3" w14:paraId="4D6F6271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245EDB">
              <w:rPr>
                <w:b/>
                <w:bCs/>
                <w:sz w:val="24"/>
                <w:szCs w:val="24"/>
              </w:rPr>
              <w:t>Support favored</w:t>
            </w:r>
          </w:p>
        </w:tc>
      </w:tr>
      <w:tr w:rsidR="00727CF3" w:rsidTr="150B2122" w14:paraId="242CF036" w14:textId="77777777">
        <w:tc>
          <w:tcPr>
            <w:tcW w:w="5999" w:type="dxa"/>
            <w:tcMar/>
          </w:tcPr>
          <w:p w:rsidRPr="00245EDB" w:rsidR="00727CF3" w:rsidP="00EF3631" w:rsidRDefault="00727CF3" w14:paraId="089AFE31" w14:textId="77777777">
            <w:pPr>
              <w:rPr>
                <w:sz w:val="20"/>
                <w:szCs w:val="20"/>
              </w:rPr>
            </w:pPr>
            <w:r w:rsidRPr="00245EDB">
              <w:rPr>
                <w:sz w:val="20"/>
                <w:szCs w:val="20"/>
              </w:rPr>
              <w:t>Solicitation/sponsor’s published guidelines or program terms specify an F&amp;A rate less than the current federally negotiated rate</w:t>
            </w:r>
          </w:p>
        </w:tc>
        <w:tc>
          <w:tcPr>
            <w:tcW w:w="4721" w:type="dxa"/>
            <w:gridSpan w:val="2"/>
            <w:vMerge w:val="restart"/>
            <w:tcMar/>
            <w:vAlign w:val="center"/>
          </w:tcPr>
          <w:p w:rsidRPr="00245EDB" w:rsidR="00727CF3" w:rsidP="00EF3631" w:rsidRDefault="00727CF3" w14:paraId="3D164956" w14:textId="77777777" w14:noSpellErr="1">
            <w:pPr>
              <w:jc w:val="center"/>
            </w:pPr>
          </w:p>
          <w:p w:rsidRPr="00245EDB" w:rsidR="00727CF3" w:rsidP="00EF3631" w:rsidRDefault="00727CF3" w14:paraId="1B08302D" w14:textId="77777777" w14:noSpellErr="1">
            <w:pPr>
              <w:jc w:val="center"/>
            </w:pPr>
            <w:r w:rsidR="00727CF3">
              <w:rPr/>
              <w:t xml:space="preserve">Reduced rate </w:t>
            </w:r>
            <w:r w:rsidR="00727CF3">
              <w:rPr/>
              <w:t>permitted</w:t>
            </w:r>
            <w:r w:rsidR="00727CF3">
              <w:rPr/>
              <w:t xml:space="preserve"> without prior approval. Indicate the reduced rate on the ePA005 and include a comment explaining why.</w:t>
            </w:r>
          </w:p>
        </w:tc>
      </w:tr>
      <w:tr w:rsidR="00727CF3" w:rsidTr="150B2122" w14:paraId="199FA3BB" w14:textId="77777777">
        <w:tc>
          <w:tcPr>
            <w:tcW w:w="5999" w:type="dxa"/>
            <w:tcMar/>
          </w:tcPr>
          <w:p w:rsidRPr="00245EDB" w:rsidR="00727CF3" w:rsidP="00EF3631" w:rsidRDefault="00727CF3" w14:paraId="6B08147E" w14:textId="77777777">
            <w:pPr>
              <w:rPr>
                <w:sz w:val="20"/>
                <w:szCs w:val="20"/>
              </w:rPr>
            </w:pPr>
            <w:r w:rsidRPr="00245EDB">
              <w:rPr>
                <w:sz w:val="20"/>
                <w:szCs w:val="20"/>
              </w:rPr>
              <w:t>Federal, state, or local statutes or regulations</w:t>
            </w:r>
          </w:p>
        </w:tc>
        <w:tc>
          <w:tcPr>
            <w:tcW w:w="4721" w:type="dxa"/>
            <w:gridSpan w:val="2"/>
            <w:vMerge/>
            <w:tcMar/>
          </w:tcPr>
          <w:p w:rsidRPr="00245EDB" w:rsidR="00727CF3" w:rsidP="00EF3631" w:rsidRDefault="00727CF3" w14:paraId="30070D8D" w14:textId="77777777">
            <w:pPr>
              <w:jc w:val="center"/>
            </w:pPr>
          </w:p>
        </w:tc>
      </w:tr>
      <w:tr w:rsidR="00727CF3" w:rsidTr="150B2122" w14:paraId="752BF3B5" w14:textId="77777777">
        <w:tc>
          <w:tcPr>
            <w:tcW w:w="5999" w:type="dxa"/>
            <w:tcMar/>
          </w:tcPr>
          <w:p w:rsidRPr="00245EDB" w:rsidR="00727CF3" w:rsidP="00EF3631" w:rsidRDefault="00727CF3" w14:paraId="1C58F7AE" w14:textId="443628AA">
            <w:pPr>
              <w:rPr>
                <w:sz w:val="20"/>
                <w:szCs w:val="20"/>
              </w:rPr>
            </w:pPr>
            <w:r w:rsidRPr="00245EDB">
              <w:rPr>
                <w:sz w:val="20"/>
                <w:szCs w:val="20"/>
              </w:rPr>
              <w:t>Changes in our federally negotiated rate that result in an increased rate after a project begins</w:t>
            </w:r>
          </w:p>
        </w:tc>
        <w:tc>
          <w:tcPr>
            <w:tcW w:w="4721" w:type="dxa"/>
            <w:gridSpan w:val="2"/>
            <w:vMerge/>
            <w:tcMar/>
          </w:tcPr>
          <w:p w:rsidRPr="00245EDB" w:rsidR="00727CF3" w:rsidP="00EF3631" w:rsidRDefault="00727CF3" w14:paraId="1C229146" w14:textId="77777777">
            <w:pPr>
              <w:jc w:val="center"/>
            </w:pPr>
          </w:p>
        </w:tc>
      </w:tr>
      <w:tr w:rsidR="57DDAE30" w:rsidTr="150B2122" w14:paraId="1397C196">
        <w:trPr>
          <w:trHeight w:val="300"/>
        </w:trPr>
        <w:tc>
          <w:tcPr>
            <w:tcW w:w="5999" w:type="dxa"/>
            <w:tcMar/>
          </w:tcPr>
          <w:p w:rsidR="34DE26CD" w:rsidP="57DDAE30" w:rsidRDefault="34DE26CD" w14:paraId="60844559" w14:textId="0F948F00">
            <w:pPr>
              <w:rPr>
                <w:sz w:val="20"/>
                <w:szCs w:val="20"/>
              </w:rPr>
            </w:pPr>
            <w:r w:rsidRPr="150B2122" w:rsidR="34DE26CD">
              <w:rPr>
                <w:sz w:val="20"/>
                <w:szCs w:val="20"/>
              </w:rPr>
              <w:t>New investigators transferring grants to the university from other institutions, at the prior institution’s rate</w:t>
            </w:r>
          </w:p>
        </w:tc>
        <w:tc>
          <w:tcPr>
            <w:tcW w:w="4721" w:type="dxa"/>
            <w:gridSpan w:val="2"/>
            <w:vMerge/>
            <w:tcMar/>
          </w:tcPr>
          <w:p w14:paraId="53A2748D"/>
        </w:tc>
      </w:tr>
      <w:tr w:rsidR="00727CF3" w:rsidTr="150B2122" w14:paraId="6B5FDC01" w14:textId="77777777">
        <w:tc>
          <w:tcPr>
            <w:tcW w:w="5999" w:type="dxa"/>
            <w:tcMar/>
          </w:tcPr>
          <w:p w:rsidRPr="00245EDB" w:rsidR="00727CF3" w:rsidP="00EF3631" w:rsidRDefault="00727CF3" w14:paraId="32315952" w14:textId="77777777">
            <w:pPr>
              <w:rPr>
                <w:sz w:val="20"/>
                <w:szCs w:val="20"/>
              </w:rPr>
            </w:pPr>
            <w:r w:rsidRPr="00245EDB">
              <w:rPr>
                <w:sz w:val="20"/>
                <w:szCs w:val="20"/>
              </w:rPr>
              <w:t>Industry sponsored/funded clinical trials</w:t>
            </w:r>
          </w:p>
        </w:tc>
        <w:tc>
          <w:tcPr>
            <w:tcW w:w="4721" w:type="dxa"/>
            <w:gridSpan w:val="2"/>
            <w:tcMar/>
          </w:tcPr>
          <w:p w:rsidRPr="00245EDB" w:rsidR="00727CF3" w:rsidP="00EF3631" w:rsidRDefault="00727CF3" w14:paraId="2A3C6E4A" w14:textId="77777777">
            <w:pPr>
              <w:jc w:val="center"/>
            </w:pPr>
            <w:r w:rsidRPr="00245EDB">
              <w:t>26% Total Direct Cost (TDC) rate</w:t>
            </w:r>
          </w:p>
        </w:tc>
      </w:tr>
      <w:tr w:rsidR="00727CF3" w:rsidTr="150B2122" w14:paraId="258236DC" w14:textId="77777777">
        <w:tc>
          <w:tcPr>
            <w:tcW w:w="5999" w:type="dxa"/>
            <w:tcMar/>
          </w:tcPr>
          <w:p w:rsidRPr="00245EDB" w:rsidR="00727CF3" w:rsidP="00EF3631" w:rsidRDefault="00727CF3" w14:paraId="57880B5F" w14:textId="77777777">
            <w:pPr>
              <w:rPr>
                <w:sz w:val="20"/>
                <w:szCs w:val="20"/>
              </w:rPr>
            </w:pPr>
            <w:r w:rsidRPr="00245EDB">
              <w:rPr>
                <w:sz w:val="20"/>
                <w:szCs w:val="20"/>
              </w:rPr>
              <w:t>Conference Proposals</w:t>
            </w:r>
          </w:p>
        </w:tc>
        <w:tc>
          <w:tcPr>
            <w:tcW w:w="2407" w:type="dxa"/>
            <w:tcMar/>
          </w:tcPr>
          <w:p w:rsidRPr="00245EDB" w:rsidR="00727CF3" w:rsidP="00EF3631" w:rsidRDefault="00727CF3" w14:paraId="192922D7" w14:textId="77777777">
            <w:pPr>
              <w:jc w:val="center"/>
              <w:rPr>
                <w:b/>
                <w:bCs/>
              </w:rPr>
            </w:pPr>
            <w:r w:rsidRPr="00245EDB">
              <w:rPr>
                <w:b/>
                <w:bCs/>
              </w:rPr>
              <w:t>YES</w:t>
            </w:r>
          </w:p>
        </w:tc>
        <w:tc>
          <w:tcPr>
            <w:tcW w:w="2314" w:type="dxa"/>
            <w:tcMar/>
          </w:tcPr>
          <w:p w:rsidRPr="00245EDB" w:rsidR="00727CF3" w:rsidP="00EF3631" w:rsidRDefault="00727CF3" w14:paraId="5A2A5816" w14:textId="77777777">
            <w:pPr>
              <w:jc w:val="center"/>
              <w:rPr>
                <w:b/>
                <w:bCs/>
              </w:rPr>
            </w:pPr>
            <w:r w:rsidRPr="00245EDB">
              <w:rPr>
                <w:b/>
                <w:bCs/>
              </w:rPr>
              <w:t>YES</w:t>
            </w:r>
          </w:p>
        </w:tc>
      </w:tr>
      <w:tr w:rsidR="00727CF3" w:rsidTr="150B2122" w14:paraId="5C8859D6" w14:textId="77777777">
        <w:tc>
          <w:tcPr>
            <w:tcW w:w="5999" w:type="dxa"/>
            <w:tcMar/>
          </w:tcPr>
          <w:p w:rsidRPr="00245EDB" w:rsidR="00727CF3" w:rsidP="00EF3631" w:rsidRDefault="00727CF3" w14:paraId="0F7F5ADC" w14:textId="77777777">
            <w:pPr>
              <w:rPr>
                <w:sz w:val="20"/>
                <w:szCs w:val="20"/>
              </w:rPr>
            </w:pPr>
            <w:r w:rsidRPr="00245EDB">
              <w:rPr>
                <w:sz w:val="20"/>
                <w:szCs w:val="20"/>
              </w:rPr>
              <w:t>Proposals being submitted by students</w:t>
            </w:r>
          </w:p>
        </w:tc>
        <w:tc>
          <w:tcPr>
            <w:tcW w:w="2407" w:type="dxa"/>
            <w:tcMar/>
          </w:tcPr>
          <w:p w:rsidRPr="00245EDB" w:rsidR="00727CF3" w:rsidP="00EF3631" w:rsidRDefault="00727CF3" w14:paraId="23CD6198" w14:textId="77777777">
            <w:pPr>
              <w:jc w:val="center"/>
              <w:rPr>
                <w:b/>
                <w:bCs/>
              </w:rPr>
            </w:pPr>
            <w:r w:rsidRPr="00245EDB">
              <w:rPr>
                <w:b/>
                <w:bCs/>
              </w:rPr>
              <w:t>YES</w:t>
            </w:r>
          </w:p>
        </w:tc>
        <w:tc>
          <w:tcPr>
            <w:tcW w:w="2314" w:type="dxa"/>
            <w:tcMar/>
          </w:tcPr>
          <w:p w:rsidRPr="00245EDB" w:rsidR="00727CF3" w:rsidP="00EF3631" w:rsidRDefault="00727CF3" w14:paraId="1925DC7D" w14:textId="77777777">
            <w:pPr>
              <w:jc w:val="center"/>
              <w:rPr>
                <w:b/>
                <w:bCs/>
              </w:rPr>
            </w:pPr>
            <w:r w:rsidRPr="00245EDB">
              <w:rPr>
                <w:b/>
                <w:bCs/>
              </w:rPr>
              <w:t>YES</w:t>
            </w:r>
          </w:p>
        </w:tc>
      </w:tr>
      <w:tr w:rsidR="00727CF3" w:rsidTr="150B2122" w14:paraId="35B826EC" w14:textId="77777777">
        <w:tc>
          <w:tcPr>
            <w:tcW w:w="5999" w:type="dxa"/>
            <w:tcMar/>
          </w:tcPr>
          <w:p w:rsidRPr="00245EDB" w:rsidR="00727CF3" w:rsidP="00EF3631" w:rsidRDefault="00727CF3" w14:paraId="0C4F8E5C" w14:textId="77777777">
            <w:pPr>
              <w:rPr>
                <w:sz w:val="20"/>
                <w:szCs w:val="20"/>
              </w:rPr>
            </w:pPr>
            <w:r w:rsidRPr="00245EDB">
              <w:rPr>
                <w:sz w:val="20"/>
                <w:szCs w:val="20"/>
              </w:rPr>
              <w:t>Submission would yield strategic partnerships</w:t>
            </w:r>
          </w:p>
        </w:tc>
        <w:tc>
          <w:tcPr>
            <w:tcW w:w="2407" w:type="dxa"/>
            <w:tcMar/>
          </w:tcPr>
          <w:p w:rsidRPr="00245EDB" w:rsidR="00727CF3" w:rsidP="00EF3631" w:rsidRDefault="00727CF3" w14:paraId="63152674" w14:textId="77777777">
            <w:pPr>
              <w:jc w:val="center"/>
              <w:rPr>
                <w:b/>
                <w:bCs/>
              </w:rPr>
            </w:pPr>
            <w:r w:rsidRPr="00245EDB">
              <w:rPr>
                <w:b/>
                <w:bCs/>
              </w:rPr>
              <w:t>YES</w:t>
            </w:r>
          </w:p>
        </w:tc>
        <w:tc>
          <w:tcPr>
            <w:tcW w:w="2314" w:type="dxa"/>
            <w:tcMar/>
          </w:tcPr>
          <w:p w:rsidRPr="00245EDB" w:rsidR="00727CF3" w:rsidP="00EF3631" w:rsidRDefault="00727CF3" w14:paraId="3D711179" w14:textId="77777777">
            <w:pPr>
              <w:jc w:val="center"/>
              <w:rPr>
                <w:b/>
                <w:bCs/>
              </w:rPr>
            </w:pPr>
            <w:r w:rsidRPr="00245EDB">
              <w:rPr>
                <w:b/>
                <w:bCs/>
              </w:rPr>
              <w:t>YES</w:t>
            </w:r>
          </w:p>
        </w:tc>
      </w:tr>
      <w:tr w:rsidR="00727CF3" w:rsidTr="150B2122" w14:paraId="0DE2A906" w14:textId="77777777">
        <w:tc>
          <w:tcPr>
            <w:tcW w:w="5999" w:type="dxa"/>
            <w:tcMar/>
          </w:tcPr>
          <w:p w:rsidRPr="00245EDB" w:rsidR="00727CF3" w:rsidP="00EF3631" w:rsidRDefault="00727CF3" w14:paraId="74BA0F03" w14:textId="77777777">
            <w:pPr>
              <w:rPr>
                <w:sz w:val="20"/>
                <w:szCs w:val="20"/>
              </w:rPr>
            </w:pPr>
            <w:r w:rsidRPr="00245EDB">
              <w:rPr>
                <w:sz w:val="20"/>
                <w:szCs w:val="20"/>
              </w:rPr>
              <w:t>Submission would be for seed funding</w:t>
            </w:r>
          </w:p>
        </w:tc>
        <w:tc>
          <w:tcPr>
            <w:tcW w:w="2407" w:type="dxa"/>
            <w:tcMar/>
          </w:tcPr>
          <w:p w:rsidRPr="00245EDB" w:rsidR="00727CF3" w:rsidP="00EF3631" w:rsidRDefault="00727CF3" w14:paraId="20DED9C8" w14:textId="77777777">
            <w:pPr>
              <w:jc w:val="center"/>
              <w:rPr>
                <w:b/>
                <w:bCs/>
              </w:rPr>
            </w:pPr>
            <w:r w:rsidRPr="00245EDB">
              <w:rPr>
                <w:b/>
                <w:bCs/>
              </w:rPr>
              <w:t>YES</w:t>
            </w:r>
          </w:p>
        </w:tc>
        <w:tc>
          <w:tcPr>
            <w:tcW w:w="2314" w:type="dxa"/>
            <w:tcMar/>
          </w:tcPr>
          <w:p w:rsidRPr="00245EDB" w:rsidR="00727CF3" w:rsidP="00EF3631" w:rsidRDefault="00727CF3" w14:paraId="20559285" w14:textId="77777777">
            <w:pPr>
              <w:jc w:val="center"/>
              <w:rPr>
                <w:b/>
                <w:bCs/>
              </w:rPr>
            </w:pPr>
            <w:r w:rsidRPr="00245EDB">
              <w:rPr>
                <w:b/>
                <w:bCs/>
              </w:rPr>
              <w:t>YES</w:t>
            </w:r>
          </w:p>
        </w:tc>
      </w:tr>
      <w:tr w:rsidR="00727CF3" w:rsidTr="150B2122" w14:paraId="1B221BC7" w14:textId="77777777">
        <w:tc>
          <w:tcPr>
            <w:tcW w:w="5999" w:type="dxa"/>
            <w:tcMar/>
          </w:tcPr>
          <w:p w:rsidRPr="00245EDB" w:rsidR="00727CF3" w:rsidP="00EF3631" w:rsidRDefault="00727CF3" w14:paraId="4B7B0134" w14:textId="6CC2E02A">
            <w:pPr>
              <w:rPr>
                <w:sz w:val="20"/>
                <w:szCs w:val="20"/>
              </w:rPr>
            </w:pPr>
            <w:r w:rsidRPr="00245EDB">
              <w:rPr>
                <w:sz w:val="20"/>
                <w:szCs w:val="20"/>
              </w:rPr>
              <w:t>Request relates to the need to spend less on indirect costs and more on direct costs in the proposal or any variation of this argument</w:t>
            </w:r>
          </w:p>
        </w:tc>
        <w:tc>
          <w:tcPr>
            <w:tcW w:w="2407" w:type="dxa"/>
            <w:tcMar/>
          </w:tcPr>
          <w:p w:rsidRPr="00245EDB" w:rsidR="00727CF3" w:rsidP="00EF3631" w:rsidRDefault="00727CF3" w14:paraId="48EA004E" w14:textId="77777777">
            <w:pPr>
              <w:jc w:val="center"/>
              <w:rPr>
                <w:b/>
                <w:bCs/>
              </w:rPr>
            </w:pPr>
            <w:r w:rsidRPr="00245EDB">
              <w:rPr>
                <w:b/>
                <w:bCs/>
              </w:rPr>
              <w:t>YES</w:t>
            </w:r>
          </w:p>
        </w:tc>
        <w:tc>
          <w:tcPr>
            <w:tcW w:w="2314" w:type="dxa"/>
            <w:tcMar/>
          </w:tcPr>
          <w:p w:rsidRPr="00245EDB" w:rsidR="00727CF3" w:rsidP="00EF3631" w:rsidRDefault="00727CF3" w14:paraId="541A9710" w14:textId="77777777">
            <w:pPr>
              <w:jc w:val="center"/>
              <w:rPr>
                <w:b/>
                <w:bCs/>
              </w:rPr>
            </w:pPr>
            <w:r w:rsidRPr="00245EDB">
              <w:rPr>
                <w:b/>
                <w:bCs/>
              </w:rPr>
              <w:t>NO</w:t>
            </w:r>
          </w:p>
        </w:tc>
      </w:tr>
      <w:tr w:rsidR="00727CF3" w:rsidTr="150B2122" w14:paraId="33B1E0A6" w14:textId="77777777">
        <w:tc>
          <w:tcPr>
            <w:tcW w:w="5999" w:type="dxa"/>
            <w:tcMar/>
          </w:tcPr>
          <w:p w:rsidRPr="00245EDB" w:rsidR="00727CF3" w:rsidP="00EF3631" w:rsidRDefault="00727CF3" w14:paraId="06906867" w14:textId="0B1EA65E">
            <w:pPr>
              <w:rPr>
                <w:sz w:val="20"/>
                <w:szCs w:val="20"/>
              </w:rPr>
            </w:pPr>
            <w:r w:rsidRPr="00245EDB">
              <w:rPr>
                <w:sz w:val="20"/>
                <w:szCs w:val="20"/>
              </w:rPr>
              <w:t>To increase the competitiveness/attractiveness of the application</w:t>
            </w:r>
          </w:p>
        </w:tc>
        <w:tc>
          <w:tcPr>
            <w:tcW w:w="2407" w:type="dxa"/>
            <w:tcMar/>
          </w:tcPr>
          <w:p w:rsidRPr="00245EDB" w:rsidR="00727CF3" w:rsidP="00EF3631" w:rsidRDefault="00727CF3" w14:paraId="6D01F95A" w14:textId="77777777">
            <w:pPr>
              <w:jc w:val="center"/>
              <w:rPr>
                <w:b/>
                <w:bCs/>
              </w:rPr>
            </w:pPr>
            <w:r w:rsidRPr="00245EDB">
              <w:rPr>
                <w:b/>
                <w:bCs/>
              </w:rPr>
              <w:t>YES</w:t>
            </w:r>
          </w:p>
        </w:tc>
        <w:tc>
          <w:tcPr>
            <w:tcW w:w="2314" w:type="dxa"/>
            <w:tcMar/>
          </w:tcPr>
          <w:p w:rsidRPr="00245EDB" w:rsidR="00727CF3" w:rsidP="00EF3631" w:rsidRDefault="00727CF3" w14:paraId="7FC7EBE6" w14:textId="77777777">
            <w:pPr>
              <w:jc w:val="center"/>
              <w:rPr>
                <w:b/>
                <w:bCs/>
              </w:rPr>
            </w:pPr>
            <w:r w:rsidRPr="00245EDB">
              <w:rPr>
                <w:b/>
                <w:bCs/>
              </w:rPr>
              <w:t>NO</w:t>
            </w:r>
          </w:p>
        </w:tc>
      </w:tr>
      <w:tr w:rsidR="00727CF3" w:rsidTr="150B2122" w14:paraId="39680DFE" w14:textId="77777777">
        <w:tc>
          <w:tcPr>
            <w:tcW w:w="5999" w:type="dxa"/>
            <w:tcMar/>
          </w:tcPr>
          <w:p w:rsidRPr="00245EDB" w:rsidR="00727CF3" w:rsidP="00EF3631" w:rsidRDefault="00727CF3" w14:paraId="4A041127" w14:textId="2E3B9EA5">
            <w:pPr>
              <w:rPr>
                <w:sz w:val="20"/>
                <w:szCs w:val="20"/>
              </w:rPr>
            </w:pPr>
            <w:r w:rsidRPr="00245EDB">
              <w:rPr>
                <w:sz w:val="20"/>
                <w:szCs w:val="20"/>
              </w:rPr>
              <w:t>When a reduced rate would not supply equitable treatment to all University researchers applying to the same sponsor</w:t>
            </w:r>
          </w:p>
        </w:tc>
        <w:tc>
          <w:tcPr>
            <w:tcW w:w="2407" w:type="dxa"/>
            <w:tcMar/>
          </w:tcPr>
          <w:p w:rsidRPr="00245EDB" w:rsidR="00727CF3" w:rsidP="00EF3631" w:rsidRDefault="00727CF3" w14:paraId="1912DEA3" w14:textId="77777777">
            <w:pPr>
              <w:jc w:val="center"/>
              <w:rPr>
                <w:b/>
                <w:bCs/>
              </w:rPr>
            </w:pPr>
            <w:r w:rsidRPr="00245EDB">
              <w:rPr>
                <w:b/>
                <w:bCs/>
              </w:rPr>
              <w:t>YES</w:t>
            </w:r>
          </w:p>
        </w:tc>
        <w:tc>
          <w:tcPr>
            <w:tcW w:w="2314" w:type="dxa"/>
            <w:tcMar/>
          </w:tcPr>
          <w:p w:rsidRPr="00245EDB" w:rsidR="00727CF3" w:rsidP="00EF3631" w:rsidRDefault="00727CF3" w14:paraId="03F3C20D" w14:textId="77777777">
            <w:pPr>
              <w:jc w:val="center"/>
              <w:rPr>
                <w:b/>
                <w:bCs/>
              </w:rPr>
            </w:pPr>
            <w:r w:rsidRPr="00245EDB">
              <w:rPr>
                <w:b/>
                <w:bCs/>
              </w:rPr>
              <w:t>NO</w:t>
            </w:r>
          </w:p>
        </w:tc>
      </w:tr>
      <w:tr w:rsidR="00727CF3" w:rsidTr="150B2122" w14:paraId="007EAEAC" w14:textId="77777777">
        <w:tc>
          <w:tcPr>
            <w:tcW w:w="5999" w:type="dxa"/>
            <w:tcMar/>
          </w:tcPr>
          <w:p w:rsidRPr="00245EDB" w:rsidR="00727CF3" w:rsidP="00EF3631" w:rsidRDefault="00727CF3" w14:paraId="67ED95A0" w14:textId="4041F98E">
            <w:pPr>
              <w:rPr>
                <w:sz w:val="20"/>
                <w:szCs w:val="20"/>
              </w:rPr>
            </w:pPr>
            <w:r w:rsidRPr="00245EDB">
              <w:rPr>
                <w:sz w:val="20"/>
                <w:szCs w:val="20"/>
              </w:rPr>
              <w:t>The intellectual property rights of an award do not remain with the University</w:t>
            </w:r>
          </w:p>
        </w:tc>
        <w:tc>
          <w:tcPr>
            <w:tcW w:w="2407" w:type="dxa"/>
            <w:tcMar/>
          </w:tcPr>
          <w:p w:rsidRPr="00245EDB" w:rsidR="00727CF3" w:rsidP="00EF3631" w:rsidRDefault="00727CF3" w14:paraId="2091F87D" w14:textId="77777777">
            <w:pPr>
              <w:jc w:val="center"/>
              <w:rPr>
                <w:b/>
                <w:bCs/>
              </w:rPr>
            </w:pPr>
            <w:r w:rsidRPr="00245EDB">
              <w:rPr>
                <w:b/>
                <w:bCs/>
              </w:rPr>
              <w:t>YES</w:t>
            </w:r>
          </w:p>
        </w:tc>
        <w:tc>
          <w:tcPr>
            <w:tcW w:w="2314" w:type="dxa"/>
            <w:tcMar/>
          </w:tcPr>
          <w:p w:rsidRPr="00245EDB" w:rsidR="00727CF3" w:rsidP="00EF3631" w:rsidRDefault="00727CF3" w14:paraId="1AF69354" w14:textId="77777777">
            <w:pPr>
              <w:jc w:val="center"/>
              <w:rPr>
                <w:b/>
                <w:bCs/>
              </w:rPr>
            </w:pPr>
            <w:r w:rsidRPr="00245EDB">
              <w:rPr>
                <w:b/>
                <w:bCs/>
              </w:rPr>
              <w:t>NO</w:t>
            </w:r>
          </w:p>
        </w:tc>
      </w:tr>
      <w:tr w:rsidR="00727CF3" w:rsidTr="150B2122" w14:paraId="23F827E4" w14:textId="77777777">
        <w:tc>
          <w:tcPr>
            <w:tcW w:w="5999" w:type="dxa"/>
            <w:tcMar/>
          </w:tcPr>
          <w:p w:rsidRPr="00245EDB" w:rsidR="00727CF3" w:rsidP="00EF3631" w:rsidRDefault="00727CF3" w14:paraId="16FFB5F5" w14:textId="77777777">
            <w:pPr>
              <w:rPr>
                <w:sz w:val="20"/>
                <w:szCs w:val="20"/>
              </w:rPr>
            </w:pPr>
            <w:r w:rsidRPr="00245EDB">
              <w:rPr>
                <w:sz w:val="20"/>
                <w:szCs w:val="20"/>
              </w:rPr>
              <w:t>Precedent</w:t>
            </w:r>
          </w:p>
        </w:tc>
        <w:tc>
          <w:tcPr>
            <w:tcW w:w="2407" w:type="dxa"/>
            <w:tcMar/>
          </w:tcPr>
          <w:p w:rsidRPr="00245EDB" w:rsidR="00727CF3" w:rsidP="00EF3631" w:rsidRDefault="00727CF3" w14:paraId="6AF437B1" w14:textId="77777777">
            <w:pPr>
              <w:jc w:val="center"/>
              <w:rPr>
                <w:b/>
                <w:bCs/>
              </w:rPr>
            </w:pPr>
            <w:r w:rsidRPr="00245EDB">
              <w:rPr>
                <w:b/>
                <w:bCs/>
              </w:rPr>
              <w:t>YES</w:t>
            </w:r>
          </w:p>
        </w:tc>
        <w:tc>
          <w:tcPr>
            <w:tcW w:w="2314" w:type="dxa"/>
            <w:tcMar/>
          </w:tcPr>
          <w:p w:rsidRPr="00245EDB" w:rsidR="00727CF3" w:rsidP="00EF3631" w:rsidRDefault="00727CF3" w14:paraId="360975C7" w14:textId="77777777">
            <w:pPr>
              <w:jc w:val="center"/>
              <w:rPr>
                <w:b/>
                <w:bCs/>
              </w:rPr>
            </w:pPr>
            <w:r w:rsidRPr="00245EDB">
              <w:rPr>
                <w:b/>
                <w:bCs/>
              </w:rPr>
              <w:t>NO</w:t>
            </w:r>
          </w:p>
        </w:tc>
      </w:tr>
    </w:tbl>
    <w:p w:rsidR="00727CF3" w:rsidP="00727CF3" w:rsidRDefault="00727CF3" w14:paraId="021F0C15" w14:textId="77777777"/>
    <w:p w:rsidR="00727CF3" w:rsidP="00727CF3" w:rsidRDefault="00727CF3" w14:paraId="7C1F2238" w14:textId="77777777">
      <w:pPr>
        <w:pStyle w:val="BodyText"/>
        <w:spacing w:before="1"/>
        <w:ind w:right="286"/>
      </w:pPr>
      <w:r>
        <w:rPr>
          <w:b/>
          <w:bCs/>
        </w:rPr>
        <w:t xml:space="preserve">How to </w:t>
      </w:r>
      <w:r w:rsidRPr="00444134">
        <w:rPr>
          <w:b/>
          <w:bCs/>
        </w:rPr>
        <w:t>Request a Waiver</w:t>
      </w:r>
      <w:r>
        <w:rPr>
          <w:b/>
          <w:bCs/>
        </w:rPr>
        <w:t xml:space="preserve"> of</w:t>
      </w:r>
      <w:r w:rsidRPr="00444134">
        <w:rPr>
          <w:b/>
          <w:bCs/>
        </w:rPr>
        <w:t xml:space="preserve"> the Standard Indirect Cost Rate</w:t>
      </w:r>
      <w:r>
        <w:rPr>
          <w:b/>
          <w:bCs/>
        </w:rPr>
        <w:t xml:space="preserve"> – </w:t>
      </w:r>
      <w:r w:rsidRPr="00444134">
        <w:t xml:space="preserve">The </w:t>
      </w:r>
      <w:r>
        <w:t>C</w:t>
      </w:r>
      <w:r w:rsidRPr="00444134">
        <w:t xml:space="preserve">ollege </w:t>
      </w:r>
      <w:r>
        <w:t xml:space="preserve">of Arts and Sciences </w:t>
      </w:r>
      <w:r w:rsidRPr="00444134">
        <w:t>will approve</w:t>
      </w:r>
      <w:r>
        <w:rPr>
          <w:b/>
          <w:bCs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few</w:t>
      </w:r>
      <w:r>
        <w:rPr>
          <w:spacing w:val="-1"/>
        </w:rPr>
        <w:t xml:space="preserve"> </w:t>
      </w:r>
      <w:r>
        <w:t>waiver requests, and none that do not follow the request procedure. If an investigator wishes to request a waiver of</w:t>
      </w:r>
      <w:r>
        <w:rPr>
          <w:spacing w:val="12"/>
        </w:rPr>
        <w:t xml:space="preserve"> the standard indirect cost rate</w:t>
      </w:r>
      <w:r>
        <w:t>, prior written approval from the ASC</w:t>
      </w:r>
      <w:r>
        <w:rPr>
          <w:spacing w:val="40"/>
        </w:rPr>
        <w:t xml:space="preserve"> </w:t>
      </w:r>
      <w:r>
        <w:t>Executive Dean for Research or designee is required.</w:t>
      </w:r>
    </w:p>
    <w:p w:rsidR="00727CF3" w:rsidP="00727CF3" w:rsidRDefault="00727CF3" w14:paraId="5170BF12" w14:textId="77777777">
      <w:pPr>
        <w:pStyle w:val="BodyText"/>
        <w:spacing w:before="1"/>
        <w:ind w:left="388" w:right="286"/>
      </w:pPr>
    </w:p>
    <w:p w:rsidR="00727CF3" w:rsidP="00727CF3" w:rsidRDefault="00727CF3" w14:paraId="6D5F08B4" w14:textId="77777777">
      <w:pPr>
        <w:pStyle w:val="ListParagraph"/>
        <w:numPr>
          <w:ilvl w:val="0"/>
          <w:numId w:val="2"/>
        </w:numPr>
        <w:tabs>
          <w:tab w:val="left" w:pos="7204"/>
        </w:tabs>
        <w:spacing w:before="67"/>
        <w:ind w:left="360"/>
      </w:pPr>
      <w:r>
        <w:t>To request Waiver from the college, send an email explaining the circumstances to the Assistant Director for Research Services, Amy Raubenolt (</w:t>
      </w:r>
      <w:hyperlink w:history="1" r:id="rId10">
        <w:r w:rsidRPr="00A40BD1">
          <w:rPr>
            <w:rStyle w:val="Hyperlink"/>
          </w:rPr>
          <w:t>raubenolt.17@osu.edu</w:t>
        </w:r>
      </w:hyperlink>
      <w:r>
        <w:t>), copying the Associate Dean for Research, Dr. Chris Jaroniac (</w:t>
      </w:r>
      <w:hyperlink w:history="1" r:id="rId11">
        <w:r w:rsidRPr="00952128">
          <w:rPr>
            <w:rStyle w:val="Hyperlink"/>
          </w:rPr>
          <w:t>jaroniac.1@osu.edu</w:t>
        </w:r>
      </w:hyperlink>
      <w:r>
        <w:t>) and Kimberly Kinsel, (</w:t>
      </w:r>
      <w:hyperlink w:history="1" r:id="rId12">
        <w:r w:rsidRPr="00C7374D">
          <w:rPr>
            <w:rStyle w:val="Hyperlink"/>
          </w:rPr>
          <w:t>kinsel.21@osu.edu</w:t>
        </w:r>
      </w:hyperlink>
      <w:r>
        <w:t xml:space="preserve">). </w:t>
      </w:r>
    </w:p>
    <w:p w:rsidR="00727CF3" w:rsidP="00727CF3" w:rsidRDefault="00727CF3" w14:paraId="71DDC232" w14:textId="77777777">
      <w:pPr>
        <w:pStyle w:val="ListParagraph"/>
        <w:tabs>
          <w:tab w:val="left" w:pos="7204"/>
        </w:tabs>
        <w:spacing w:before="67"/>
        <w:ind w:left="360" w:firstLine="0"/>
      </w:pPr>
      <w:r>
        <w:t xml:space="preserve">The college must receive the request at least </w:t>
      </w:r>
      <w:r w:rsidRPr="00384906">
        <w:rPr>
          <w:b/>
          <w:bCs/>
        </w:rPr>
        <w:t>one week before</w:t>
      </w:r>
      <w:r>
        <w:t xml:space="preserve"> the proposal’s deadline.</w:t>
      </w:r>
    </w:p>
    <w:p w:rsidR="00727CF3" w:rsidP="00727CF3" w:rsidRDefault="00727CF3" w14:paraId="636FEC14" w14:textId="77777777">
      <w:pPr>
        <w:pStyle w:val="ListParagraph"/>
        <w:numPr>
          <w:ilvl w:val="0"/>
          <w:numId w:val="2"/>
        </w:numPr>
        <w:tabs>
          <w:tab w:val="left" w:pos="7204"/>
        </w:tabs>
        <w:spacing w:before="67"/>
        <w:ind w:left="360"/>
      </w:pPr>
      <w:r>
        <w:t>The college will review the request,</w:t>
      </w:r>
      <w:r w:rsidRPr="00E751FB">
        <w:rPr>
          <w:spacing w:val="-4"/>
        </w:rPr>
        <w:t xml:space="preserve"> </w:t>
      </w:r>
      <w:r>
        <w:t>coordinating with</w:t>
      </w:r>
      <w:r w:rsidRPr="00E751FB">
        <w:rPr>
          <w:spacing w:val="-3"/>
        </w:rPr>
        <w:t xml:space="preserve"> </w:t>
      </w:r>
      <w:r>
        <w:t>other</w:t>
      </w:r>
      <w:r w:rsidRPr="00E751FB">
        <w:rPr>
          <w:spacing w:val="-1"/>
        </w:rPr>
        <w:t xml:space="preserve"> </w:t>
      </w:r>
      <w:r>
        <w:t>colleges</w:t>
      </w:r>
      <w:r w:rsidRPr="00E751FB">
        <w:rPr>
          <w:spacing w:val="-2"/>
        </w:rPr>
        <w:t xml:space="preserve"> </w:t>
      </w:r>
      <w:r>
        <w:t>as</w:t>
      </w:r>
      <w:r w:rsidRPr="00E751FB">
        <w:rPr>
          <w:spacing w:val="-5"/>
        </w:rPr>
        <w:t xml:space="preserve"> </w:t>
      </w:r>
      <w:r>
        <w:t>needed. The</w:t>
      </w:r>
      <w:r w:rsidRPr="00E751FB">
        <w:rPr>
          <w:spacing w:val="-2"/>
        </w:rPr>
        <w:t xml:space="preserve"> </w:t>
      </w:r>
      <w:r>
        <w:rPr>
          <w:spacing w:val="-2"/>
        </w:rPr>
        <w:t xml:space="preserve">investigator will receive a </w:t>
      </w:r>
      <w:r>
        <w:t>decision</w:t>
      </w:r>
      <w:r w:rsidRPr="00E751FB">
        <w:rPr>
          <w:spacing w:val="-3"/>
        </w:rPr>
        <w:t xml:space="preserve"> </w:t>
      </w:r>
      <w:r>
        <w:t>via</w:t>
      </w:r>
      <w:r w:rsidRPr="00E751FB">
        <w:rPr>
          <w:spacing w:val="-3"/>
        </w:rPr>
        <w:t xml:space="preserve"> </w:t>
      </w:r>
      <w:r>
        <w:t>email.</w:t>
      </w:r>
    </w:p>
    <w:p w:rsidR="00727CF3" w:rsidP="00727CF3" w:rsidRDefault="00727CF3" w14:paraId="57C0951B" w14:textId="77777777">
      <w:pPr>
        <w:pStyle w:val="ListParagraph"/>
        <w:numPr>
          <w:ilvl w:val="0"/>
          <w:numId w:val="2"/>
        </w:numPr>
        <w:tabs>
          <w:tab w:val="left" w:pos="7204"/>
        </w:tabs>
        <w:spacing w:before="67"/>
        <w:ind w:left="360"/>
      </w:pPr>
      <w:r>
        <w:t>Upload a copy of that approval to the ePA005 – OSU Authorization to Seek Off-Campus Funding form and indicate the indirect rate on that form.</w:t>
      </w:r>
    </w:p>
    <w:p w:rsidR="00535AAB" w:rsidP="57DDAE30" w:rsidRDefault="00535AAB" w14:paraId="4312E9A7" w14:noSpellErr="1" w14:textId="793E8D01">
      <w:pPr>
        <w:pStyle w:val="BodyText"/>
        <w:ind w:left="389" w:right="329" w:hanging="1"/>
      </w:pPr>
    </w:p>
    <w:p w:rsidR="00535AAB" w:rsidRDefault="00E751FB" w14:paraId="4312E9A9" w14:textId="3C7E1AD9">
      <w:pPr>
        <w:ind w:right="105"/>
        <w:jc w:val="right"/>
        <w:rPr>
          <w:sz w:val="24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312E9AE" wp14:editId="4A69B6DE">
            <wp:simplePos x="0" y="0"/>
            <wp:positionH relativeFrom="page">
              <wp:posOffset>544830</wp:posOffset>
            </wp:positionH>
            <wp:positionV relativeFrom="paragraph">
              <wp:posOffset>1280795</wp:posOffset>
            </wp:positionV>
            <wp:extent cx="3190239" cy="45529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239" cy="45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35AAB" w:rsidSect="00444134">
      <w:pgSz w:w="12240" w:h="15840" w:orient="portrait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7F69" w:rsidP="002F6518" w:rsidRDefault="00B37F69" w14:paraId="05008EF1" w14:textId="77777777">
      <w:r>
        <w:separator/>
      </w:r>
    </w:p>
  </w:endnote>
  <w:endnote w:type="continuationSeparator" w:id="0">
    <w:p w:rsidR="00B37F69" w:rsidP="002F6518" w:rsidRDefault="00B37F69" w14:paraId="01D357B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7F69" w:rsidP="002F6518" w:rsidRDefault="00B37F69" w14:paraId="33A791C1" w14:textId="77777777">
      <w:r>
        <w:separator/>
      </w:r>
    </w:p>
  </w:footnote>
  <w:footnote w:type="continuationSeparator" w:id="0">
    <w:p w:rsidR="00B37F69" w:rsidP="002F6518" w:rsidRDefault="00B37F69" w14:paraId="1C0C7C6D" w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cM4UUpm3" int2:invalidationBookmarkName="" int2:hashCode="4sQkpOn64BI/GP" int2:id="8XAfAZLe">
      <int2:state int2:type="AugLoop_Text_Critique" int2:value="Rejected"/>
    </int2:bookmark>
    <int2:bookmark int2:bookmarkName="_Int_0b0uTs2x" int2:invalidationBookmarkName="" int2:hashCode="VwQ+7eSxJAGLTt" int2:id="JZGO5Ii3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270BD"/>
    <w:multiLevelType w:val="hybridMultilevel"/>
    <w:tmpl w:val="8DF694E2"/>
    <w:lvl w:ilvl="0" w:tplc="35AA2B26">
      <w:numFmt w:val="bullet"/>
      <w:lvlText w:val=""/>
      <w:lvlJc w:val="left"/>
      <w:pPr>
        <w:ind w:left="1108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1561268">
      <w:numFmt w:val="bullet"/>
      <w:lvlText w:val="•"/>
      <w:lvlJc w:val="left"/>
      <w:pPr>
        <w:ind w:left="2070" w:hanging="361"/>
      </w:pPr>
      <w:rPr>
        <w:rFonts w:hint="default"/>
        <w:lang w:val="en-US" w:eastAsia="en-US" w:bidi="ar-SA"/>
      </w:rPr>
    </w:lvl>
    <w:lvl w:ilvl="2" w:tplc="881E50F2">
      <w:numFmt w:val="bullet"/>
      <w:lvlText w:val="•"/>
      <w:lvlJc w:val="left"/>
      <w:pPr>
        <w:ind w:left="3040" w:hanging="361"/>
      </w:pPr>
      <w:rPr>
        <w:rFonts w:hint="default"/>
        <w:lang w:val="en-US" w:eastAsia="en-US" w:bidi="ar-SA"/>
      </w:rPr>
    </w:lvl>
    <w:lvl w:ilvl="3" w:tplc="D08AF18A">
      <w:numFmt w:val="bullet"/>
      <w:lvlText w:val="•"/>
      <w:lvlJc w:val="left"/>
      <w:pPr>
        <w:ind w:left="4010" w:hanging="361"/>
      </w:pPr>
      <w:rPr>
        <w:rFonts w:hint="default"/>
        <w:lang w:val="en-US" w:eastAsia="en-US" w:bidi="ar-SA"/>
      </w:rPr>
    </w:lvl>
    <w:lvl w:ilvl="4" w:tplc="ECB0A62E">
      <w:numFmt w:val="bullet"/>
      <w:lvlText w:val="•"/>
      <w:lvlJc w:val="left"/>
      <w:pPr>
        <w:ind w:left="4980" w:hanging="361"/>
      </w:pPr>
      <w:rPr>
        <w:rFonts w:hint="default"/>
        <w:lang w:val="en-US" w:eastAsia="en-US" w:bidi="ar-SA"/>
      </w:rPr>
    </w:lvl>
    <w:lvl w:ilvl="5" w:tplc="9C063AB4">
      <w:numFmt w:val="bullet"/>
      <w:lvlText w:val="•"/>
      <w:lvlJc w:val="left"/>
      <w:pPr>
        <w:ind w:left="5950" w:hanging="361"/>
      </w:pPr>
      <w:rPr>
        <w:rFonts w:hint="default"/>
        <w:lang w:val="en-US" w:eastAsia="en-US" w:bidi="ar-SA"/>
      </w:rPr>
    </w:lvl>
    <w:lvl w:ilvl="6" w:tplc="728E1DE8">
      <w:numFmt w:val="bullet"/>
      <w:lvlText w:val="•"/>
      <w:lvlJc w:val="left"/>
      <w:pPr>
        <w:ind w:left="6920" w:hanging="361"/>
      </w:pPr>
      <w:rPr>
        <w:rFonts w:hint="default"/>
        <w:lang w:val="en-US" w:eastAsia="en-US" w:bidi="ar-SA"/>
      </w:rPr>
    </w:lvl>
    <w:lvl w:ilvl="7" w:tplc="A17E0082">
      <w:numFmt w:val="bullet"/>
      <w:lvlText w:val="•"/>
      <w:lvlJc w:val="left"/>
      <w:pPr>
        <w:ind w:left="7890" w:hanging="361"/>
      </w:pPr>
      <w:rPr>
        <w:rFonts w:hint="default"/>
        <w:lang w:val="en-US" w:eastAsia="en-US" w:bidi="ar-SA"/>
      </w:rPr>
    </w:lvl>
    <w:lvl w:ilvl="8" w:tplc="C11A7968">
      <w:numFmt w:val="bullet"/>
      <w:lvlText w:val="•"/>
      <w:lvlJc w:val="left"/>
      <w:pPr>
        <w:ind w:left="886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6000D70"/>
    <w:multiLevelType w:val="hybridMultilevel"/>
    <w:tmpl w:val="A232DCF2"/>
    <w:lvl w:ilvl="0" w:tplc="7CCC344C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num w:numId="1" w16cid:durableId="391193283">
    <w:abstractNumId w:val="0"/>
  </w:num>
  <w:num w:numId="2" w16cid:durableId="1619143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AB"/>
    <w:rsid w:val="000150AE"/>
    <w:rsid w:val="00051A59"/>
    <w:rsid w:val="00063A19"/>
    <w:rsid w:val="000662E4"/>
    <w:rsid w:val="0008789E"/>
    <w:rsid w:val="000A0EEE"/>
    <w:rsid w:val="000B6C1C"/>
    <w:rsid w:val="000E294B"/>
    <w:rsid w:val="001035F7"/>
    <w:rsid w:val="00131E50"/>
    <w:rsid w:val="00144FF9"/>
    <w:rsid w:val="00151BC6"/>
    <w:rsid w:val="001A749D"/>
    <w:rsid w:val="001C4F3C"/>
    <w:rsid w:val="001D20C3"/>
    <w:rsid w:val="00245EE5"/>
    <w:rsid w:val="00252636"/>
    <w:rsid w:val="00260BD2"/>
    <w:rsid w:val="002768D8"/>
    <w:rsid w:val="0029570A"/>
    <w:rsid w:val="00297755"/>
    <w:rsid w:val="002978A5"/>
    <w:rsid w:val="002A1B1C"/>
    <w:rsid w:val="002B03A8"/>
    <w:rsid w:val="002C27DE"/>
    <w:rsid w:val="002E67F8"/>
    <w:rsid w:val="002F4171"/>
    <w:rsid w:val="002F6518"/>
    <w:rsid w:val="00314DF5"/>
    <w:rsid w:val="0034105E"/>
    <w:rsid w:val="00343182"/>
    <w:rsid w:val="00353B65"/>
    <w:rsid w:val="00357256"/>
    <w:rsid w:val="00360E13"/>
    <w:rsid w:val="003830C8"/>
    <w:rsid w:val="00384906"/>
    <w:rsid w:val="003A5792"/>
    <w:rsid w:val="003A7F56"/>
    <w:rsid w:val="003B1CE4"/>
    <w:rsid w:val="003E58FD"/>
    <w:rsid w:val="00416BF3"/>
    <w:rsid w:val="00420D5D"/>
    <w:rsid w:val="00444134"/>
    <w:rsid w:val="0045740E"/>
    <w:rsid w:val="004750CA"/>
    <w:rsid w:val="004B50AD"/>
    <w:rsid w:val="004D4470"/>
    <w:rsid w:val="00531444"/>
    <w:rsid w:val="00535AAB"/>
    <w:rsid w:val="00547272"/>
    <w:rsid w:val="00555517"/>
    <w:rsid w:val="005574AA"/>
    <w:rsid w:val="00567B26"/>
    <w:rsid w:val="005A4C48"/>
    <w:rsid w:val="005B25B0"/>
    <w:rsid w:val="005D197A"/>
    <w:rsid w:val="005D6A53"/>
    <w:rsid w:val="005F137F"/>
    <w:rsid w:val="005F7652"/>
    <w:rsid w:val="00607C65"/>
    <w:rsid w:val="00646A79"/>
    <w:rsid w:val="00651783"/>
    <w:rsid w:val="00681293"/>
    <w:rsid w:val="006A01F5"/>
    <w:rsid w:val="006A2889"/>
    <w:rsid w:val="006C2298"/>
    <w:rsid w:val="006D21EC"/>
    <w:rsid w:val="006D6CB1"/>
    <w:rsid w:val="006F5E42"/>
    <w:rsid w:val="00727CF3"/>
    <w:rsid w:val="00747EB6"/>
    <w:rsid w:val="00764C56"/>
    <w:rsid w:val="00785EBF"/>
    <w:rsid w:val="007F6429"/>
    <w:rsid w:val="00802239"/>
    <w:rsid w:val="0081268E"/>
    <w:rsid w:val="00815820"/>
    <w:rsid w:val="00851D46"/>
    <w:rsid w:val="008802A1"/>
    <w:rsid w:val="00885F40"/>
    <w:rsid w:val="008A2558"/>
    <w:rsid w:val="008D4DC8"/>
    <w:rsid w:val="008F5BD6"/>
    <w:rsid w:val="00952128"/>
    <w:rsid w:val="009569B9"/>
    <w:rsid w:val="009656A4"/>
    <w:rsid w:val="009A13A8"/>
    <w:rsid w:val="009B2B0F"/>
    <w:rsid w:val="009E0243"/>
    <w:rsid w:val="00A03891"/>
    <w:rsid w:val="00A067A0"/>
    <w:rsid w:val="00A26787"/>
    <w:rsid w:val="00A40BD1"/>
    <w:rsid w:val="00A4375A"/>
    <w:rsid w:val="00A447A4"/>
    <w:rsid w:val="00A465D3"/>
    <w:rsid w:val="00A50ECE"/>
    <w:rsid w:val="00A523DA"/>
    <w:rsid w:val="00A60406"/>
    <w:rsid w:val="00A76012"/>
    <w:rsid w:val="00A7DE7E"/>
    <w:rsid w:val="00A960CF"/>
    <w:rsid w:val="00A97A44"/>
    <w:rsid w:val="00AC61CA"/>
    <w:rsid w:val="00AF0F7E"/>
    <w:rsid w:val="00B030D6"/>
    <w:rsid w:val="00B069B2"/>
    <w:rsid w:val="00B17BF3"/>
    <w:rsid w:val="00B37F69"/>
    <w:rsid w:val="00B56DFD"/>
    <w:rsid w:val="00B742E9"/>
    <w:rsid w:val="00B7796C"/>
    <w:rsid w:val="00BC19EC"/>
    <w:rsid w:val="00C01B7B"/>
    <w:rsid w:val="00C36F21"/>
    <w:rsid w:val="00C7080C"/>
    <w:rsid w:val="00C749DE"/>
    <w:rsid w:val="00C95CDC"/>
    <w:rsid w:val="00CA036D"/>
    <w:rsid w:val="00CA1708"/>
    <w:rsid w:val="00CA33D6"/>
    <w:rsid w:val="00CA39DA"/>
    <w:rsid w:val="00CD243E"/>
    <w:rsid w:val="00CD7C51"/>
    <w:rsid w:val="00D1090F"/>
    <w:rsid w:val="00D25111"/>
    <w:rsid w:val="00D42D6C"/>
    <w:rsid w:val="00DC1E6C"/>
    <w:rsid w:val="00DC302B"/>
    <w:rsid w:val="00DD3AF3"/>
    <w:rsid w:val="00DF3148"/>
    <w:rsid w:val="00E055D5"/>
    <w:rsid w:val="00E3375B"/>
    <w:rsid w:val="00E63B0E"/>
    <w:rsid w:val="00E751FB"/>
    <w:rsid w:val="00E85E0C"/>
    <w:rsid w:val="00EA5E4F"/>
    <w:rsid w:val="00EC40D0"/>
    <w:rsid w:val="00ED6465"/>
    <w:rsid w:val="00EF5742"/>
    <w:rsid w:val="00F02719"/>
    <w:rsid w:val="00F048BA"/>
    <w:rsid w:val="00F13CC2"/>
    <w:rsid w:val="00F15AE6"/>
    <w:rsid w:val="00F31A41"/>
    <w:rsid w:val="00F4239A"/>
    <w:rsid w:val="00F44D54"/>
    <w:rsid w:val="00F652D5"/>
    <w:rsid w:val="00FA70DE"/>
    <w:rsid w:val="04373DF9"/>
    <w:rsid w:val="06E28794"/>
    <w:rsid w:val="074DA8ED"/>
    <w:rsid w:val="11E74EC7"/>
    <w:rsid w:val="150B2122"/>
    <w:rsid w:val="1BF55D5A"/>
    <w:rsid w:val="34DE26CD"/>
    <w:rsid w:val="3D07F802"/>
    <w:rsid w:val="42DC232A"/>
    <w:rsid w:val="5641DDCF"/>
    <w:rsid w:val="57DDAE30"/>
    <w:rsid w:val="5EE3C24B"/>
    <w:rsid w:val="63093FB2"/>
    <w:rsid w:val="64C41EBE"/>
    <w:rsid w:val="665FEF1F"/>
    <w:rsid w:val="67FBBF80"/>
    <w:rsid w:val="69978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2E975"/>
  <w15:docId w15:val="{F0CF3793-249D-4345-B953-E9CDBA47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88"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262"/>
      <w:ind w:left="388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1108" w:hanging="361"/>
    </w:pPr>
  </w:style>
  <w:style w:type="paragraph" w:styleId="TableParagraph" w:customStyle="1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3A5792"/>
    <w:pPr>
      <w:widowControl/>
      <w:autoSpaceDE/>
      <w:autoSpaceDN/>
    </w:pPr>
    <w:rPr>
      <w:rFonts w:ascii="Arial" w:hAnsi="Arial" w:eastAsia="Arial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6518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F6518"/>
    <w:rPr>
      <w:rFonts w:ascii="Arial" w:hAnsi="Arial" w:eastAsia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651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B2B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2B0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27CF3"/>
    <w:pPr>
      <w:widowControl/>
      <w:autoSpaceDE/>
      <w:autoSpaceDN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odyTextChar" w:customStyle="1">
    <w:name w:val="Body Text Char"/>
    <w:basedOn w:val="DefaultParagraphFont"/>
    <w:link w:val="BodyText"/>
    <w:uiPriority w:val="1"/>
    <w:rsid w:val="00727CF3"/>
    <w:rPr>
      <w:rFonts w:ascii="Arial" w:hAnsi="Arial"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chrome-extension://https:/research.osu.edu/sites/default/files/2022-08/Ohio%20State%20University.5192_signed_%20FY23%20Fringe%20Rate%20and%20Carryforward%20Agreement.pdf" TargetMode="Externa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mailto:kinsel.21@osu.edu?subject=Indirect%20Cost%20Rate%20Waiver%20Request" TargetMode="Externa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mailto:jaroniac.1@osu.edu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mailto:raubenolt.17@osu.edu" TargetMode="External" Id="rId10" /><Relationship Type="http://schemas.openxmlformats.org/officeDocument/2006/relationships/settings" Target="settings.xml" Id="rId4" /><Relationship Type="http://schemas.openxmlformats.org/officeDocument/2006/relationships/image" Target="media/image1.jpeg" Id="rId9" /><Relationship Type="http://schemas.openxmlformats.org/officeDocument/2006/relationships/theme" Target="theme/theme1.xml" Id="rId14" /><Relationship Type="http://schemas.microsoft.com/office/2020/10/relationships/intelligence" Target="intelligence2.xml" Id="Rbf16a8293045492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83D6F-AB51-4797-8315-64C4E250379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Janell Strouse</dc:creator>
  <dc:description/>
  <lastModifiedBy>Raubenolt, Amy</lastModifiedBy>
  <revision>18</revision>
  <dcterms:created xsi:type="dcterms:W3CDTF">2022-11-03T15:22:00.0000000Z</dcterms:created>
  <dcterms:modified xsi:type="dcterms:W3CDTF">2023-08-03T14:19:36.1720309Z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2022-10-25T00:00:00Z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D:20171108165923</vt:lpwstr>
  </property>
</Properties>
</file>